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6C" w:rsidRPr="0059126A" w:rsidRDefault="000D0279">
      <w:pPr>
        <w:rPr>
          <w:rFonts w:ascii="DejaVu Sans" w:hAnsi="DejaVu Sans" w:cs="DejaVu Sans"/>
          <w:b/>
          <w:color w:val="323E4F" w:themeColor="text2" w:themeShade="BF"/>
        </w:rPr>
      </w:pPr>
      <w:r w:rsidRPr="000D0279">
        <w:rPr>
          <w:rFonts w:ascii="DejaVu Sans" w:hAnsi="DejaVu Sans" w:cs="DejaVu Sans"/>
          <w:noProof/>
          <w:color w:val="323E4F" w:themeColor="text2" w:themeShade="BF"/>
          <w:sz w:val="17"/>
          <w:szCs w:val="17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-227152200</wp:posOffset>
            </wp:positionH>
            <wp:positionV relativeFrom="paragraph">
              <wp:posOffset>-928123620</wp:posOffset>
            </wp:positionV>
            <wp:extent cx="8165465" cy="752475"/>
            <wp:effectExtent l="0" t="0" r="698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enblatt_NEUTRAL_Fu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546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727" w:rsidRPr="0059126A">
        <w:rPr>
          <w:rFonts w:ascii="DejaVu Sans" w:hAnsi="DejaVu Sans" w:cs="DejaVu Sans"/>
          <w:b/>
          <w:noProof/>
          <w:color w:val="323E4F" w:themeColor="text2" w:themeShade="BF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-461645</wp:posOffset>
            </wp:positionV>
            <wp:extent cx="7593827" cy="1457325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enblatt_NEUTRAL_kop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827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93A" w:rsidRPr="0059126A">
        <w:rPr>
          <w:rFonts w:ascii="DejaVu Sans" w:hAnsi="DejaVu Sans" w:cs="DejaVu Sans"/>
          <w:b/>
          <w:color w:val="323E4F" w:themeColor="text2" w:themeShade="BF"/>
        </w:rPr>
        <w:t xml:space="preserve"> </w:t>
      </w:r>
      <w:proofErr w:type="spellStart"/>
      <w:r w:rsidR="00D55E99">
        <w:rPr>
          <w:rFonts w:ascii="DejaVu Sans" w:hAnsi="DejaVu Sans" w:cs="DejaVu Sans"/>
          <w:b/>
          <w:color w:val="323E4F" w:themeColor="text2" w:themeShade="BF"/>
        </w:rPr>
        <w:t>Specification</w:t>
      </w:r>
      <w:proofErr w:type="spellEnd"/>
      <w:r w:rsidR="00D55E99">
        <w:rPr>
          <w:rFonts w:ascii="DejaVu Sans" w:hAnsi="DejaVu Sans" w:cs="DejaVu Sans"/>
          <w:b/>
          <w:color w:val="323E4F" w:themeColor="text2" w:themeShade="BF"/>
        </w:rPr>
        <w:t xml:space="preserve"> </w:t>
      </w:r>
      <w:r w:rsidR="00BC26FD">
        <w:rPr>
          <w:rFonts w:ascii="DejaVu Sans" w:hAnsi="DejaVu Sans" w:cs="DejaVu Sans"/>
          <w:b/>
          <w:color w:val="323E4F" w:themeColor="text2" w:themeShade="BF"/>
        </w:rPr>
        <w:t>WGW</w:t>
      </w:r>
      <w:r>
        <w:rPr>
          <w:rFonts w:ascii="DejaVu Sans" w:hAnsi="DejaVu Sans" w:cs="DejaVu Sans"/>
          <w:b/>
          <w:color w:val="323E4F" w:themeColor="text2" w:themeShade="BF"/>
        </w:rPr>
        <w:t xml:space="preserve"> </w:t>
      </w:r>
    </w:p>
    <w:tbl>
      <w:tblPr>
        <w:tblStyle w:val="Tabellenraster"/>
        <w:tblpPr w:leftFromText="141" w:rightFromText="141" w:vertAnchor="text" w:horzAnchor="margin" w:tblpY="1320"/>
        <w:tblW w:w="0" w:type="auto"/>
        <w:tblBorders>
          <w:top w:val="single" w:sz="4" w:space="0" w:color="F28719"/>
          <w:left w:val="single" w:sz="4" w:space="0" w:color="F28719"/>
          <w:bottom w:val="single" w:sz="4" w:space="0" w:color="F28719"/>
          <w:right w:val="single" w:sz="4" w:space="0" w:color="F28719"/>
          <w:insideH w:val="single" w:sz="4" w:space="0" w:color="F28719"/>
          <w:insideV w:val="single" w:sz="4" w:space="0" w:color="F28719"/>
        </w:tblBorders>
        <w:tblLook w:val="04A0" w:firstRow="1" w:lastRow="0" w:firstColumn="1" w:lastColumn="0" w:noHBand="0" w:noVBand="1"/>
      </w:tblPr>
      <w:tblGrid>
        <w:gridCol w:w="633"/>
        <w:gridCol w:w="626"/>
        <w:gridCol w:w="7665"/>
        <w:gridCol w:w="766"/>
        <w:gridCol w:w="766"/>
      </w:tblGrid>
      <w:tr w:rsidR="0059126A" w:rsidTr="000D0279">
        <w:tc>
          <w:tcPr>
            <w:tcW w:w="509" w:type="dxa"/>
            <w:shd w:val="clear" w:color="auto" w:fill="F28A19"/>
          </w:tcPr>
          <w:p w:rsidR="0087396C" w:rsidRPr="00BF1894" w:rsidRDefault="0059126A" w:rsidP="0087396C">
            <w:pPr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</w:pPr>
            <w:r w:rsidRPr="00BF1894"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  <w:t>Pos</w:t>
            </w:r>
          </w:p>
        </w:tc>
        <w:tc>
          <w:tcPr>
            <w:tcW w:w="488" w:type="dxa"/>
            <w:shd w:val="clear" w:color="auto" w:fill="F28A19"/>
          </w:tcPr>
          <w:p w:rsidR="0087396C" w:rsidRPr="00BF1894" w:rsidRDefault="00BC26FD" w:rsidP="0087396C">
            <w:pPr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  <w:t>pcs</w:t>
            </w:r>
            <w:proofErr w:type="spellEnd"/>
          </w:p>
        </w:tc>
        <w:tc>
          <w:tcPr>
            <w:tcW w:w="8253" w:type="dxa"/>
            <w:shd w:val="clear" w:color="auto" w:fill="F28A19"/>
            <w:vAlign w:val="center"/>
          </w:tcPr>
          <w:p w:rsidR="0087396C" w:rsidRPr="00BF1894" w:rsidRDefault="00BC26FD" w:rsidP="00D55E99">
            <w:pPr>
              <w:jc w:val="center"/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</w:pPr>
            <w:r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  <w:t xml:space="preserve">WGW </w:t>
            </w:r>
            <w:proofErr w:type="spellStart"/>
            <w:r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  <w:t>wave</w:t>
            </w:r>
            <w:proofErr w:type="spellEnd"/>
            <w:r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  <w:t>protector</w:t>
            </w:r>
            <w:proofErr w:type="spellEnd"/>
          </w:p>
        </w:tc>
        <w:tc>
          <w:tcPr>
            <w:tcW w:w="603" w:type="dxa"/>
            <w:shd w:val="clear" w:color="auto" w:fill="F28A19"/>
          </w:tcPr>
          <w:p w:rsidR="0059126A" w:rsidRPr="00BF1894" w:rsidRDefault="0059126A" w:rsidP="0087396C">
            <w:pPr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</w:pPr>
            <w:r w:rsidRPr="00BF1894"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  <w:t xml:space="preserve">EP </w:t>
            </w:r>
          </w:p>
          <w:p w:rsidR="0087396C" w:rsidRPr="00BF1894" w:rsidRDefault="0059126A" w:rsidP="0087396C">
            <w:pPr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</w:pPr>
            <w:r w:rsidRPr="00BF1894"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  <w:t>Euro</w:t>
            </w:r>
          </w:p>
        </w:tc>
        <w:tc>
          <w:tcPr>
            <w:tcW w:w="603" w:type="dxa"/>
            <w:shd w:val="clear" w:color="auto" w:fill="F28A19"/>
          </w:tcPr>
          <w:p w:rsidR="0087396C" w:rsidRPr="00BF1894" w:rsidRDefault="0059126A" w:rsidP="0087396C">
            <w:pPr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</w:pPr>
            <w:r w:rsidRPr="00BF1894"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  <w:t>GP</w:t>
            </w:r>
          </w:p>
          <w:p w:rsidR="0059126A" w:rsidRPr="00BF1894" w:rsidRDefault="0059126A" w:rsidP="0087396C">
            <w:pPr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</w:pPr>
            <w:r w:rsidRPr="00BF1894">
              <w:rPr>
                <w:rFonts w:ascii="DejaVu Sans" w:hAnsi="DejaVu Sans" w:cs="DejaVu Sans"/>
                <w:color w:val="FFFFFF" w:themeColor="background1"/>
                <w:sz w:val="24"/>
                <w:szCs w:val="24"/>
              </w:rPr>
              <w:t>Euro</w:t>
            </w:r>
          </w:p>
        </w:tc>
      </w:tr>
      <w:tr w:rsidR="000D0279" w:rsidRPr="00783AEF" w:rsidTr="00711301">
        <w:trPr>
          <w:trHeight w:val="12458"/>
        </w:trPr>
        <w:tc>
          <w:tcPr>
            <w:tcW w:w="509" w:type="dxa"/>
            <w:shd w:val="clear" w:color="auto" w:fill="FFFFFF" w:themeFill="background1"/>
          </w:tcPr>
          <w:p w:rsidR="0087396C" w:rsidRPr="00783AEF" w:rsidRDefault="0087396C" w:rsidP="0087396C">
            <w:pPr>
              <w:rPr>
                <w:rFonts w:ascii="DejaVu Sans" w:hAnsi="DejaVu Sans" w:cs="DejaVu Sans"/>
                <w:color w:val="323E4F" w:themeColor="text2" w:themeShade="BF"/>
                <w:sz w:val="17"/>
                <w:szCs w:val="17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87396C" w:rsidRPr="00783AEF" w:rsidRDefault="0087396C" w:rsidP="0087396C">
            <w:pPr>
              <w:rPr>
                <w:rFonts w:ascii="DejaVu Sans" w:hAnsi="DejaVu Sans" w:cs="DejaVu Sans"/>
                <w:color w:val="323E4F" w:themeColor="text2" w:themeShade="BF"/>
                <w:sz w:val="17"/>
                <w:szCs w:val="17"/>
              </w:rPr>
            </w:pPr>
          </w:p>
        </w:tc>
        <w:tc>
          <w:tcPr>
            <w:tcW w:w="8253" w:type="dxa"/>
            <w:shd w:val="clear" w:color="auto" w:fill="FFFFFF" w:themeFill="background1"/>
          </w:tcPr>
          <w:p w:rsidR="00BC26FD" w:rsidRDefault="00BC26FD" w:rsidP="00BC26FD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</w:p>
          <w:p w:rsidR="00BC26FD" w:rsidRDefault="00BC26FD" w:rsidP="00BC26FD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  <w:bookmarkStart w:id="0" w:name="_GoBack"/>
            <w:bookmarkEnd w:id="0"/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Microprocessor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with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up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to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2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configurable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analog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inputs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(0-1V, 0-10V, 2-10V, 0-20mA, 4-20mA,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resistance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measurement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) Color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change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alarm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message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green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/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red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), 3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option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slots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, 4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limit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comparators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and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fast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convenient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configuration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with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Setup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program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Detecting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cable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breaks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or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short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circuits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to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prevent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false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alarms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>.</w:t>
            </w:r>
          </w:p>
          <w:p w:rsidR="00BC26FD" w:rsidRDefault="00BC26FD" w:rsidP="00BC26FD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  <w:r>
              <w:rPr>
                <w:rFonts w:ascii="DejaVu Sans" w:hAnsi="DejaVu Sans" w:cs="DejaVu Sans"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relay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changer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output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well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2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logic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outputs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, power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supply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for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2-wire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transmitter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and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setup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interface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>.</w:t>
            </w:r>
          </w:p>
          <w:p w:rsidR="00BC26FD" w:rsidRDefault="00BC26FD" w:rsidP="00BC26FD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  <w:r>
              <w:rPr>
                <w:rFonts w:ascii="DejaVu Sans" w:hAnsi="DejaVu Sans" w:cs="DejaVu Sans"/>
                <w:sz w:val="17"/>
                <w:szCs w:val="17"/>
              </w:rPr>
              <w:t xml:space="preserve">Optional: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math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and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logic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module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, RS422 / 485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interface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, Profibus-DP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interface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>.</w:t>
            </w:r>
          </w:p>
          <w:p w:rsidR="00BC26FD" w:rsidRDefault="00BC26FD" w:rsidP="00BC26FD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</w:p>
          <w:p w:rsidR="00BC26FD" w:rsidRDefault="00BC26FD" w:rsidP="00BC26FD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  <w:r>
              <w:rPr>
                <w:rFonts w:ascii="DejaVu Sans" w:hAnsi="DejaVu Sans" w:cs="DejaVu Sans"/>
                <w:sz w:val="17"/>
                <w:szCs w:val="17"/>
              </w:rPr>
              <w:t xml:space="preserve">The Wave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Protector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is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particularly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suitable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for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cold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water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systems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and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recoolers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that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are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filled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with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water-glycol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mixture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and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installed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outdoors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Chilled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water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sets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and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recoolers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mounted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on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the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wave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protector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thus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do not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cause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any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water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contamination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in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case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of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leaks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>.</w:t>
            </w:r>
          </w:p>
          <w:p w:rsidR="00BC26FD" w:rsidRDefault="00BC26FD" w:rsidP="00BC26FD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</w:p>
          <w:p w:rsidR="00BC26FD" w:rsidRDefault="00BC26FD" w:rsidP="00BC26FD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  <w:r>
              <w:rPr>
                <w:rFonts w:ascii="DejaVu Sans" w:hAnsi="DejaVu Sans" w:cs="DejaVu Sans"/>
                <w:sz w:val="17"/>
                <w:szCs w:val="17"/>
              </w:rPr>
              <w:t xml:space="preserve">The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largest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possible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rainfall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in Germany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are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safely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collected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or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dissipated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continuous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rain 312mm in 24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hours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>) (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data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from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the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German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Weather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Service).</w:t>
            </w:r>
          </w:p>
          <w:p w:rsidR="00BC26FD" w:rsidRDefault="00BC26FD" w:rsidP="00BC26FD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</w:p>
          <w:p w:rsidR="00BC26FD" w:rsidRDefault="00BC26FD" w:rsidP="00BC26FD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With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the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wave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protector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are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the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requirements</w:t>
            </w:r>
            <w:proofErr w:type="spellEnd"/>
          </w:p>
          <w:p w:rsidR="00BC26FD" w:rsidRDefault="00BC26FD" w:rsidP="00BC26FD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according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to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§ 62g ff.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of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the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WHG (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Water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Resources Act)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and</w:t>
            </w:r>
            <w:proofErr w:type="spellEnd"/>
          </w:p>
          <w:p w:rsidR="00BC26FD" w:rsidRDefault="00BC26FD" w:rsidP="00BC26FD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  <w:r>
              <w:rPr>
                <w:rFonts w:ascii="DejaVu Sans" w:hAnsi="DejaVu Sans" w:cs="DejaVu Sans"/>
                <w:sz w:val="17"/>
                <w:szCs w:val="17"/>
              </w:rPr>
              <w:t xml:space="preserve">§ 3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of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the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AwSV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(Plant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Ordinance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>).</w:t>
            </w:r>
          </w:p>
          <w:p w:rsidR="00BC26FD" w:rsidRDefault="00BC26FD" w:rsidP="00BC26FD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</w:p>
          <w:p w:rsidR="00BC26FD" w:rsidRDefault="00BC26FD" w:rsidP="00BC26FD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  <w:r>
              <w:rPr>
                <w:rFonts w:ascii="DejaVu Sans" w:hAnsi="DejaVu Sans" w:cs="DejaVu Sans"/>
                <w:sz w:val="17"/>
                <w:szCs w:val="17"/>
              </w:rPr>
              <w:t xml:space="preserve">Optional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accessories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available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>:</w:t>
            </w:r>
          </w:p>
          <w:p w:rsidR="00BC26FD" w:rsidRDefault="00BC26FD" w:rsidP="00BC26FD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Leaf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guard</w:t>
            </w:r>
            <w:proofErr w:type="spellEnd"/>
          </w:p>
          <w:p w:rsidR="00BC26FD" w:rsidRDefault="00BC26FD" w:rsidP="00BC26FD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Heating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mats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and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thermostat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in IP65 / UV-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resistant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for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year-round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operation</w:t>
            </w:r>
            <w:proofErr w:type="spellEnd"/>
          </w:p>
          <w:p w:rsidR="00BC26FD" w:rsidRDefault="00BC26FD" w:rsidP="00BC26FD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Pedestals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for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installation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in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the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wave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protector</w:t>
            </w:r>
            <w:proofErr w:type="spellEnd"/>
          </w:p>
          <w:p w:rsidR="00BC26FD" w:rsidRDefault="00BC26FD" w:rsidP="00BC26FD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  <w:r>
              <w:rPr>
                <w:rFonts w:ascii="DejaVu Sans" w:hAnsi="DejaVu Sans" w:cs="DejaVu Sans"/>
                <w:sz w:val="17"/>
                <w:szCs w:val="17"/>
              </w:rPr>
              <w:t xml:space="preserve">Fault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message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via SMS, fax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or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e-mail</w:t>
            </w:r>
            <w:proofErr w:type="spellEnd"/>
          </w:p>
          <w:p w:rsidR="00BC26FD" w:rsidRDefault="00BC26FD" w:rsidP="00BC26FD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</w:p>
          <w:p w:rsidR="00BC26FD" w:rsidRDefault="00BC26FD" w:rsidP="00BC26FD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  <w:r>
              <w:rPr>
                <w:rFonts w:ascii="DejaVu Sans" w:hAnsi="DejaVu Sans" w:cs="DejaVu Sans"/>
                <w:sz w:val="17"/>
                <w:szCs w:val="17"/>
              </w:rPr>
              <w:t xml:space="preserve">Material: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stainless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steel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1.4301</w:t>
            </w:r>
          </w:p>
          <w:p w:rsidR="00BC26FD" w:rsidRDefault="00BC26FD" w:rsidP="00BC26FD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  <w:r>
              <w:rPr>
                <w:rFonts w:ascii="DejaVu Sans" w:hAnsi="DejaVu Sans" w:cs="DejaVu Sans"/>
                <w:sz w:val="17"/>
                <w:szCs w:val="17"/>
              </w:rPr>
              <w:t xml:space="preserve">Processing: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Welding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according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to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DIN EN ISO 9606-1</w:t>
            </w:r>
          </w:p>
          <w:p w:rsidR="00BC26FD" w:rsidRDefault="00BC26FD" w:rsidP="00BC26FD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</w:p>
          <w:p w:rsidR="00BC26FD" w:rsidRDefault="00BC26FD" w:rsidP="00BC26FD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  <w:r>
              <w:rPr>
                <w:rFonts w:ascii="DejaVu Sans" w:hAnsi="DejaVu Sans" w:cs="DejaVu Sans"/>
                <w:sz w:val="17"/>
                <w:szCs w:val="17"/>
              </w:rPr>
              <w:t xml:space="preserve">The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technical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documentation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includes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the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installation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instructions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with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the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technical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data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maintenance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instructions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commissioning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information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well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information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about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the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electrical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equipment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, spare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parts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and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customer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17"/>
                <w:szCs w:val="17"/>
              </w:rPr>
              <w:t>service</w:t>
            </w:r>
            <w:proofErr w:type="spellEnd"/>
            <w:r>
              <w:rPr>
                <w:rFonts w:ascii="DejaVu Sans" w:hAnsi="DejaVu Sans" w:cs="DejaVu Sans"/>
                <w:sz w:val="17"/>
                <w:szCs w:val="17"/>
              </w:rPr>
              <w:t>.</w:t>
            </w:r>
          </w:p>
          <w:p w:rsidR="00BC26FD" w:rsidRDefault="00BC26FD" w:rsidP="00BC26FD">
            <w:pPr>
              <w:pStyle w:val="EinfAbs"/>
              <w:rPr>
                <w:rFonts w:ascii="DejaVu Sans" w:hAnsi="DejaVu Sans" w:cs="DejaVu Sans"/>
                <w:sz w:val="17"/>
                <w:szCs w:val="17"/>
              </w:rPr>
            </w:pPr>
          </w:p>
          <w:p w:rsidR="00BC26FD" w:rsidRDefault="00BC26FD" w:rsidP="00BC26FD">
            <w:pPr>
              <w:pStyle w:val="EinfAbs"/>
              <w:rPr>
                <w:rFonts w:ascii="DejaVu Sans" w:hAnsi="DejaVu Sans" w:cs="DejaVu Sans"/>
                <w:b/>
                <w:bCs/>
                <w:sz w:val="17"/>
                <w:szCs w:val="17"/>
              </w:rPr>
            </w:pPr>
            <w:r>
              <w:rPr>
                <w:rFonts w:ascii="DejaVu Sans" w:hAnsi="DejaVu Sans" w:cs="DejaVu Sans"/>
                <w:b/>
                <w:bCs/>
                <w:sz w:val="17"/>
                <w:szCs w:val="17"/>
              </w:rPr>
              <w:t xml:space="preserve">Sourcing </w:t>
            </w:r>
            <w:proofErr w:type="spellStart"/>
            <w:r>
              <w:rPr>
                <w:rFonts w:ascii="DejaVu Sans" w:hAnsi="DejaVu Sans" w:cs="DejaVu Sans"/>
                <w:b/>
                <w:bCs/>
                <w:sz w:val="17"/>
                <w:szCs w:val="17"/>
              </w:rPr>
              <w:t>reference</w:t>
            </w:r>
            <w:proofErr w:type="spellEnd"/>
            <w:r>
              <w:rPr>
                <w:rFonts w:ascii="DejaVu Sans" w:hAnsi="DejaVu Sans" w:cs="DejaVu Sans"/>
                <w:b/>
                <w:bCs/>
                <w:sz w:val="17"/>
                <w:szCs w:val="17"/>
              </w:rPr>
              <w:t>:</w:t>
            </w:r>
          </w:p>
          <w:p w:rsidR="00BC26FD" w:rsidRDefault="00BC26FD" w:rsidP="00BC26FD">
            <w:pPr>
              <w:pStyle w:val="EinfAbs"/>
              <w:rPr>
                <w:rFonts w:ascii="DejaVu Sans" w:hAnsi="DejaVu Sans" w:cs="DejaVu Sans"/>
                <w:b/>
                <w:bCs/>
                <w:sz w:val="17"/>
                <w:szCs w:val="17"/>
              </w:rPr>
            </w:pPr>
          </w:p>
          <w:p w:rsidR="00BC26FD" w:rsidRDefault="00BC26FD" w:rsidP="00BC26FD">
            <w:pPr>
              <w:pStyle w:val="EinfAbs"/>
              <w:rPr>
                <w:rFonts w:ascii="DejaVu Sans" w:hAnsi="DejaVu Sans" w:cs="DejaVu Sans"/>
                <w:b/>
                <w:bCs/>
                <w:sz w:val="17"/>
                <w:szCs w:val="17"/>
              </w:rPr>
            </w:pPr>
            <w:r>
              <w:rPr>
                <w:rFonts w:ascii="DejaVu Sans" w:hAnsi="DejaVu Sans" w:cs="DejaVu Sans"/>
                <w:b/>
                <w:bCs/>
                <w:sz w:val="17"/>
                <w:szCs w:val="17"/>
              </w:rPr>
              <w:t>GUS Gewässer-Umwelt-Schutz GmbH</w:t>
            </w:r>
          </w:p>
          <w:p w:rsidR="0059126A" w:rsidRPr="004F4BF8" w:rsidRDefault="00BC26FD" w:rsidP="00BC26FD">
            <w:pPr>
              <w:jc w:val="both"/>
              <w:rPr>
                <w:rFonts w:ascii="DejaVu Sans" w:hAnsi="DejaVu Sans" w:cs="DejaVu Sans"/>
                <w:color w:val="323E4F" w:themeColor="text2" w:themeShade="BF"/>
                <w:sz w:val="17"/>
                <w:szCs w:val="17"/>
              </w:rPr>
            </w:pPr>
            <w:r>
              <w:rPr>
                <w:rFonts w:ascii="DejaVu Sans" w:hAnsi="DejaVu Sans" w:cs="DejaVu Sans"/>
                <w:b/>
                <w:bCs/>
                <w:sz w:val="17"/>
                <w:szCs w:val="17"/>
              </w:rPr>
              <w:t>48529 Nordhorn</w:t>
            </w:r>
          </w:p>
        </w:tc>
        <w:tc>
          <w:tcPr>
            <w:tcW w:w="603" w:type="dxa"/>
            <w:shd w:val="clear" w:color="auto" w:fill="FFFFFF" w:themeFill="background1"/>
          </w:tcPr>
          <w:p w:rsidR="0087396C" w:rsidRPr="00783AEF" w:rsidRDefault="00711301" w:rsidP="0087396C">
            <w:pPr>
              <w:rPr>
                <w:rFonts w:ascii="DejaVu Sans" w:hAnsi="DejaVu Sans" w:cs="DejaVu Sans"/>
                <w:color w:val="323E4F" w:themeColor="text2" w:themeShade="BF"/>
                <w:sz w:val="17"/>
                <w:szCs w:val="17"/>
              </w:rPr>
            </w:pPr>
            <w:r>
              <w:rPr>
                <w:rFonts w:ascii="DejaVu Sans" w:hAnsi="DejaVu Sans" w:cs="DejaVu Sans"/>
                <w:color w:val="323E4F" w:themeColor="text2" w:themeShade="BF"/>
                <w:sz w:val="17"/>
                <w:szCs w:val="17"/>
              </w:rPr>
              <w:t xml:space="preserve">    </w:t>
            </w:r>
          </w:p>
        </w:tc>
        <w:tc>
          <w:tcPr>
            <w:tcW w:w="603" w:type="dxa"/>
            <w:shd w:val="clear" w:color="auto" w:fill="FFFFFF" w:themeFill="background1"/>
          </w:tcPr>
          <w:p w:rsidR="0087396C" w:rsidRPr="00783AEF" w:rsidRDefault="0087396C" w:rsidP="0087396C">
            <w:pPr>
              <w:rPr>
                <w:rFonts w:ascii="DejaVu Sans" w:hAnsi="DejaVu Sans" w:cs="DejaVu Sans"/>
                <w:color w:val="323E4F" w:themeColor="text2" w:themeShade="BF"/>
                <w:sz w:val="17"/>
                <w:szCs w:val="17"/>
              </w:rPr>
            </w:pPr>
          </w:p>
        </w:tc>
      </w:tr>
    </w:tbl>
    <w:p w:rsidR="008D0129" w:rsidRPr="00783AEF" w:rsidRDefault="000D0279">
      <w:pPr>
        <w:rPr>
          <w:rFonts w:ascii="DejaVu Sans" w:hAnsi="DejaVu Sans" w:cs="DejaVu Sans"/>
          <w:color w:val="323E4F" w:themeColor="text2" w:themeShade="BF"/>
          <w:sz w:val="17"/>
          <w:szCs w:val="17"/>
        </w:rPr>
      </w:pPr>
      <w:r w:rsidRPr="00783AEF">
        <w:rPr>
          <w:rFonts w:ascii="DejaVu Sans" w:hAnsi="DejaVu Sans" w:cs="DejaVu Sans"/>
          <w:noProof/>
          <w:color w:val="44546A" w:themeColor="text2"/>
          <w:sz w:val="17"/>
          <w:szCs w:val="17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-457201</wp:posOffset>
            </wp:positionH>
            <wp:positionV relativeFrom="paragraph">
              <wp:posOffset>9248141</wp:posOffset>
            </wp:positionV>
            <wp:extent cx="7575649" cy="698500"/>
            <wp:effectExtent l="0" t="0" r="635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tenblatt_NEUTRAL_Fu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956" cy="700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0129" w:rsidRPr="00783AEF" w:rsidSect="00977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34B"/>
    <w:multiLevelType w:val="hybridMultilevel"/>
    <w:tmpl w:val="43E66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05E8"/>
    <w:multiLevelType w:val="hybridMultilevel"/>
    <w:tmpl w:val="9D16C7C0"/>
    <w:lvl w:ilvl="0" w:tplc="4148E944">
      <w:numFmt w:val="bullet"/>
      <w:lvlText w:val="-"/>
      <w:lvlJc w:val="left"/>
      <w:pPr>
        <w:ind w:left="1065" w:hanging="705"/>
      </w:pPr>
      <w:rPr>
        <w:rFonts w:ascii="DejaVu Sans" w:eastAsia="Times New Roman" w:hAnsi="DejaVu Sans" w:cs="DejaVu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81C3E"/>
    <w:multiLevelType w:val="hybridMultilevel"/>
    <w:tmpl w:val="807C73C6"/>
    <w:lvl w:ilvl="0" w:tplc="4148E944">
      <w:numFmt w:val="bullet"/>
      <w:lvlText w:val="-"/>
      <w:lvlJc w:val="left"/>
      <w:pPr>
        <w:ind w:left="1065" w:hanging="705"/>
      </w:pPr>
      <w:rPr>
        <w:rFonts w:ascii="DejaVu Sans" w:eastAsia="Times New Roman" w:hAnsi="DejaVu Sans" w:cs="DejaVu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074A9"/>
    <w:multiLevelType w:val="hybridMultilevel"/>
    <w:tmpl w:val="9246EDF6"/>
    <w:lvl w:ilvl="0" w:tplc="0F243B6C">
      <w:numFmt w:val="bullet"/>
      <w:lvlText w:val="-"/>
      <w:lvlJc w:val="left"/>
      <w:pPr>
        <w:ind w:left="720" w:hanging="360"/>
      </w:pPr>
      <w:rPr>
        <w:rFonts w:ascii="DejaVu Sans" w:eastAsia="Times New Roman" w:hAnsi="DejaVu Sans" w:cs="DejaVu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D71E5"/>
    <w:multiLevelType w:val="hybridMultilevel"/>
    <w:tmpl w:val="4296E36E"/>
    <w:lvl w:ilvl="0" w:tplc="4148E944">
      <w:numFmt w:val="bullet"/>
      <w:lvlText w:val="-"/>
      <w:lvlJc w:val="left"/>
      <w:pPr>
        <w:ind w:left="1425" w:hanging="705"/>
      </w:pPr>
      <w:rPr>
        <w:rFonts w:ascii="DejaVu Sans" w:eastAsia="Times New Roman" w:hAnsi="DejaVu Sans" w:cs="DejaVu San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A64B7E"/>
    <w:multiLevelType w:val="hybridMultilevel"/>
    <w:tmpl w:val="031CB4B8"/>
    <w:lvl w:ilvl="0" w:tplc="0F243B6C">
      <w:numFmt w:val="bullet"/>
      <w:lvlText w:val="-"/>
      <w:lvlJc w:val="left"/>
      <w:pPr>
        <w:ind w:left="720" w:hanging="360"/>
      </w:pPr>
      <w:rPr>
        <w:rFonts w:ascii="DejaVu Sans" w:eastAsia="Times New Roman" w:hAnsi="DejaVu Sans" w:cs="DejaVu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3A"/>
    <w:rsid w:val="000D0279"/>
    <w:rsid w:val="00181412"/>
    <w:rsid w:val="00194072"/>
    <w:rsid w:val="001A52C0"/>
    <w:rsid w:val="00347E93"/>
    <w:rsid w:val="004F4BF8"/>
    <w:rsid w:val="005674A2"/>
    <w:rsid w:val="0059126A"/>
    <w:rsid w:val="00640D2F"/>
    <w:rsid w:val="006541AA"/>
    <w:rsid w:val="006B3EEB"/>
    <w:rsid w:val="006E02E1"/>
    <w:rsid w:val="00711301"/>
    <w:rsid w:val="00783AEF"/>
    <w:rsid w:val="007D7FE2"/>
    <w:rsid w:val="008709B2"/>
    <w:rsid w:val="0087396C"/>
    <w:rsid w:val="008D0129"/>
    <w:rsid w:val="008D2271"/>
    <w:rsid w:val="00902C82"/>
    <w:rsid w:val="00977727"/>
    <w:rsid w:val="00AB4545"/>
    <w:rsid w:val="00AE6099"/>
    <w:rsid w:val="00AF32A9"/>
    <w:rsid w:val="00B636B4"/>
    <w:rsid w:val="00BC26FD"/>
    <w:rsid w:val="00BD678A"/>
    <w:rsid w:val="00BF1894"/>
    <w:rsid w:val="00C14EA1"/>
    <w:rsid w:val="00CA44BC"/>
    <w:rsid w:val="00CB6BF0"/>
    <w:rsid w:val="00D55E99"/>
    <w:rsid w:val="00E2306B"/>
    <w:rsid w:val="00E94789"/>
    <w:rsid w:val="00EB393A"/>
    <w:rsid w:val="00EE0FA1"/>
    <w:rsid w:val="00F6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3C87"/>
  <w15:chartTrackingRefBased/>
  <w15:docId w15:val="{B4A70CB0-0BD6-4D24-8CCC-1442F176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73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C8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11301"/>
    <w:pPr>
      <w:ind w:left="720"/>
      <w:contextualSpacing/>
    </w:pPr>
  </w:style>
  <w:style w:type="character" w:customStyle="1" w:styleId="shorttext">
    <w:name w:val="short_text"/>
    <w:basedOn w:val="Absatz-Standardschriftart"/>
    <w:rsid w:val="00D55E99"/>
  </w:style>
  <w:style w:type="paragraph" w:customStyle="1" w:styleId="EinfAbs">
    <w:name w:val="[Einf. Abs.]"/>
    <w:basedOn w:val="Standard"/>
    <w:uiPriority w:val="99"/>
    <w:rsid w:val="00BC26F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Gitta Hoesmann</dc:creator>
  <cp:keywords/>
  <dc:description/>
  <cp:lastModifiedBy>Gitta Hoesmann</cp:lastModifiedBy>
  <cp:revision>2</cp:revision>
  <cp:lastPrinted>2018-05-16T11:04:00Z</cp:lastPrinted>
  <dcterms:created xsi:type="dcterms:W3CDTF">2018-05-24T07:49:00Z</dcterms:created>
  <dcterms:modified xsi:type="dcterms:W3CDTF">2018-05-24T07:49:00Z</dcterms:modified>
</cp:coreProperties>
</file>