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056D04">
        <w:rPr>
          <w:rFonts w:ascii="DejaVu Sans" w:hAnsi="DejaVu Sans" w:cs="DejaVu Sans"/>
          <w:b/>
          <w:color w:val="323E4F" w:themeColor="text2" w:themeShade="BF"/>
        </w:rPr>
        <w:t>SAW</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56D04" w:rsidP="00F62E4D">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SAW Sicherheitsauffangwanne</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056D04" w:rsidRDefault="00056D04" w:rsidP="00056D04">
            <w:pPr>
              <w:pStyle w:val="EinfAbs"/>
              <w:rPr>
                <w:rFonts w:ascii="DejaVu Sans" w:hAnsi="DejaVu Sans" w:cs="DejaVu Sans"/>
                <w:sz w:val="17"/>
                <w:szCs w:val="17"/>
              </w:rPr>
            </w:pPr>
            <w:r>
              <w:rPr>
                <w:rFonts w:ascii="DejaVu Sans" w:hAnsi="DejaVu Sans" w:cs="DejaVu Sans"/>
                <w:sz w:val="17"/>
                <w:szCs w:val="17"/>
              </w:rPr>
              <w:t xml:space="preserve">Die Sicherheitsauffangwanne verhindert, dass wassergefährdende Stoffe ins Grundwasser bzw. Abwasser gelangen können. Die Sicherheitsauffangwanne ist besonders geeignet für Kälte- und Klimaanlagen sowie Maschinen oder Geräte, die mit wassergefährdenden Stoffen gefüllt sind und im Innenbereich </w:t>
            </w:r>
          </w:p>
          <w:p w:rsidR="00056D04" w:rsidRDefault="00056D04" w:rsidP="00056D04">
            <w:pPr>
              <w:pStyle w:val="EinfAbs"/>
              <w:rPr>
                <w:rFonts w:ascii="DejaVu Sans" w:hAnsi="DejaVu Sans" w:cs="DejaVu Sans"/>
                <w:sz w:val="17"/>
                <w:szCs w:val="17"/>
              </w:rPr>
            </w:pPr>
            <w:r>
              <w:rPr>
                <w:rFonts w:ascii="DejaVu Sans" w:hAnsi="DejaVu Sans" w:cs="DejaVu Sans"/>
                <w:sz w:val="17"/>
                <w:szCs w:val="17"/>
              </w:rPr>
              <w:t xml:space="preserve">aufgestellt werden. </w:t>
            </w:r>
          </w:p>
          <w:p w:rsidR="00056D04" w:rsidRDefault="00056D04" w:rsidP="00056D04">
            <w:pPr>
              <w:pStyle w:val="EinfAbs"/>
              <w:rPr>
                <w:rFonts w:ascii="DejaVu Sans" w:hAnsi="DejaVu Sans" w:cs="DejaVu Sans"/>
                <w:sz w:val="17"/>
                <w:szCs w:val="17"/>
              </w:rPr>
            </w:pPr>
          </w:p>
          <w:p w:rsidR="00056D04" w:rsidRDefault="00056D04" w:rsidP="00056D04">
            <w:pPr>
              <w:pStyle w:val="EinfAbs"/>
              <w:rPr>
                <w:rFonts w:ascii="DejaVu Sans" w:hAnsi="DejaVu Sans" w:cs="DejaVu Sans"/>
                <w:sz w:val="17"/>
                <w:szCs w:val="17"/>
              </w:rPr>
            </w:pPr>
            <w:r>
              <w:rPr>
                <w:rFonts w:ascii="DejaVu Sans" w:hAnsi="DejaVu Sans" w:cs="DejaVu Sans"/>
                <w:sz w:val="17"/>
                <w:szCs w:val="17"/>
              </w:rPr>
              <w:t xml:space="preserve">Der Protektor ist ein Sicherheitssystem aus Edelstahl 1.4301 mit der Materialstärke von 1,5 mm. Gefertigt wird nach EN ISO 9445 und wird vom Hersteller bei Bedarf bestätigt (EN10204 Werksprüfzeugnis). Zum Schutz vor Korrosion wird der Protektor abschließend vollflächig gebeizt und ist nach §62 des Wasserhaushaltsgesetzes (WHG) gefertigt. </w:t>
            </w:r>
          </w:p>
          <w:p w:rsidR="00056D04" w:rsidRDefault="00056D04" w:rsidP="00056D04">
            <w:pPr>
              <w:pStyle w:val="EinfAbs"/>
              <w:rPr>
                <w:rFonts w:ascii="DejaVu Sans" w:hAnsi="DejaVu Sans" w:cs="DejaVu Sans"/>
                <w:sz w:val="17"/>
                <w:szCs w:val="17"/>
              </w:rPr>
            </w:pPr>
          </w:p>
          <w:p w:rsidR="00056D04" w:rsidRDefault="00056D04" w:rsidP="00056D04">
            <w:pPr>
              <w:pStyle w:val="EinfAbs"/>
              <w:rPr>
                <w:rFonts w:ascii="DejaVu Sans" w:hAnsi="DejaVu Sans" w:cs="DejaVu Sans"/>
                <w:sz w:val="17"/>
                <w:szCs w:val="17"/>
              </w:rPr>
            </w:pPr>
            <w:r>
              <w:rPr>
                <w:rFonts w:ascii="DejaVu Sans" w:hAnsi="DejaVu Sans" w:cs="DejaVu Sans"/>
                <w:sz w:val="17"/>
                <w:szCs w:val="17"/>
              </w:rPr>
              <w:t>Werkstoff:       Edelstahl 1.4301</w:t>
            </w:r>
          </w:p>
          <w:p w:rsidR="00056D04" w:rsidRDefault="00056D04" w:rsidP="00056D04">
            <w:pPr>
              <w:pStyle w:val="EinfAbs"/>
              <w:rPr>
                <w:rFonts w:ascii="DejaVu Sans" w:hAnsi="DejaVu Sans" w:cs="DejaVu Sans"/>
                <w:sz w:val="17"/>
                <w:szCs w:val="17"/>
              </w:rPr>
            </w:pPr>
            <w:r>
              <w:rPr>
                <w:rFonts w:ascii="DejaVu Sans" w:hAnsi="DejaVu Sans" w:cs="DejaVu Sans"/>
                <w:sz w:val="17"/>
                <w:szCs w:val="17"/>
              </w:rPr>
              <w:t>Materialgüte:  3.1.b ADW2, nach DIN EN 10259</w:t>
            </w:r>
          </w:p>
          <w:p w:rsidR="00056D04" w:rsidRDefault="00056D04" w:rsidP="00056D04">
            <w:pPr>
              <w:pStyle w:val="EinfAbs"/>
              <w:rPr>
                <w:rFonts w:ascii="DejaVu Sans" w:hAnsi="DejaVu Sans" w:cs="DejaVu Sans"/>
                <w:sz w:val="17"/>
                <w:szCs w:val="17"/>
              </w:rPr>
            </w:pPr>
            <w:r>
              <w:rPr>
                <w:rFonts w:ascii="DejaVu Sans" w:hAnsi="DejaVu Sans" w:cs="DejaVu Sans"/>
                <w:sz w:val="17"/>
                <w:szCs w:val="17"/>
              </w:rPr>
              <w:t>Verarbeitung: Schweißungen nach DIN EN ISO 9606-1</w:t>
            </w:r>
          </w:p>
          <w:p w:rsidR="00056D04" w:rsidRDefault="00056D04" w:rsidP="00056D04">
            <w:pPr>
              <w:pStyle w:val="EinfAbs"/>
              <w:rPr>
                <w:rFonts w:ascii="DejaVu Sans" w:hAnsi="DejaVu Sans" w:cs="DejaVu Sans"/>
                <w:sz w:val="17"/>
                <w:szCs w:val="17"/>
              </w:rPr>
            </w:pPr>
            <w:r>
              <w:rPr>
                <w:rFonts w:ascii="DejaVu Sans" w:hAnsi="DejaVu Sans" w:cs="DejaVu Sans"/>
                <w:sz w:val="17"/>
                <w:szCs w:val="17"/>
              </w:rPr>
              <w:t>Zulassungen:  AD-HP-O Zulassung für die Herstellung von Druckbehältern</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bookmarkStart w:id="0" w:name="_GoBack"/>
      <w:bookmarkEnd w:id="0"/>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56D04"/>
    <w:rsid w:val="000D0279"/>
    <w:rsid w:val="001A52C0"/>
    <w:rsid w:val="005674A2"/>
    <w:rsid w:val="0059126A"/>
    <w:rsid w:val="00640D2F"/>
    <w:rsid w:val="006E02E1"/>
    <w:rsid w:val="00783AEF"/>
    <w:rsid w:val="007D7FE2"/>
    <w:rsid w:val="008709B2"/>
    <w:rsid w:val="0087396C"/>
    <w:rsid w:val="008D0129"/>
    <w:rsid w:val="008D2271"/>
    <w:rsid w:val="00902C82"/>
    <w:rsid w:val="00977727"/>
    <w:rsid w:val="00B636B4"/>
    <w:rsid w:val="00BD678A"/>
    <w:rsid w:val="00BF1894"/>
    <w:rsid w:val="00C14EA1"/>
    <w:rsid w:val="00E94789"/>
    <w:rsid w:val="00EB393A"/>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8FEB"/>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customStyle="1" w:styleId="EinfAbs">
    <w:name w:val="[Einf. Abs.]"/>
    <w:basedOn w:val="Standard"/>
    <w:uiPriority w:val="99"/>
    <w:rsid w:val="00056D04"/>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2018-05-24T06:58:00Z</dcterms:created>
  <dcterms:modified xsi:type="dcterms:W3CDTF">2018-05-24T06:58:00Z</dcterms:modified>
</cp:coreProperties>
</file>