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B47287">
        <w:rPr>
          <w:rFonts w:ascii="DejaVu Sans" w:hAnsi="DejaVu Sans" w:cs="DejaVu Sans"/>
          <w:b/>
          <w:color w:val="323E4F" w:themeColor="text2" w:themeShade="BF"/>
        </w:rPr>
        <w:t>7</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B47287">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B47287">
              <w:rPr>
                <w:rFonts w:ascii="DejaVu Sans" w:hAnsi="DejaVu Sans" w:cs="DejaVu Sans"/>
                <w:color w:val="FFFFFF" w:themeColor="background1"/>
                <w:sz w:val="24"/>
                <w:szCs w:val="24"/>
              </w:rPr>
              <w:t>7</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B47287">
              <w:rPr>
                <w:rFonts w:ascii="DejaVu Sans" w:eastAsia="MS Mincho" w:hAnsi="DejaVu Sans" w:cs="DejaVu Sans"/>
                <w:sz w:val="17"/>
                <w:szCs w:val="17"/>
                <w:lang w:eastAsia="ja-JP"/>
              </w:rPr>
              <w:t>50</w:t>
            </w:r>
            <w:r w:rsidRPr="004F4BF8">
              <w:rPr>
                <w:rFonts w:ascii="DejaVu Sans" w:eastAsia="MS Mincho" w:hAnsi="DejaVu Sans" w:cs="DejaVu Sans"/>
                <w:sz w:val="17"/>
                <w:szCs w:val="17"/>
                <w:lang w:eastAsia="ja-JP"/>
              </w:rPr>
              <w:t xml:space="preserve">0 x </w:t>
            </w:r>
            <w:r w:rsidR="00B47287">
              <w:rPr>
                <w:rFonts w:ascii="DejaVu Sans" w:eastAsia="MS Mincho" w:hAnsi="DejaVu Sans" w:cs="DejaVu Sans"/>
                <w:sz w:val="17"/>
                <w:szCs w:val="17"/>
                <w:lang w:eastAsia="ja-JP"/>
              </w:rPr>
              <w:t>120</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181412">
              <w:rPr>
                <w:rFonts w:ascii="DejaVu Sans" w:eastAsia="MS Mincho" w:hAnsi="DejaVu Sans" w:cs="DejaVu Sans"/>
                <w:sz w:val="17"/>
                <w:szCs w:val="17"/>
                <w:lang w:eastAsia="ja-JP"/>
              </w:rPr>
              <w:t>1,</w:t>
            </w:r>
            <w:r w:rsidR="00B47287">
              <w:rPr>
                <w:rFonts w:ascii="DejaVu Sans" w:eastAsia="MS Mincho" w:hAnsi="DejaVu Sans" w:cs="DejaVu Sans"/>
                <w:sz w:val="17"/>
                <w:szCs w:val="17"/>
                <w:lang w:eastAsia="ja-JP"/>
              </w:rPr>
              <w:t>80</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B47287">
              <w:rPr>
                <w:rFonts w:ascii="DejaVu Sans" w:eastAsia="MS Mincho" w:hAnsi="DejaVu Sans" w:cs="DejaVu Sans"/>
                <w:sz w:val="17"/>
                <w:szCs w:val="17"/>
                <w:lang w:eastAsia="ja-JP"/>
              </w:rPr>
              <w:t>5,4</w:t>
            </w:r>
            <w:bookmarkStart w:id="0" w:name="_GoBack"/>
            <w:bookmarkEnd w:id="0"/>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B47287">
              <w:rPr>
                <w:rFonts w:ascii="DejaVu Sans" w:eastAsia="Times New Roman" w:hAnsi="DejaVu Sans" w:cs="DejaVu Sans"/>
                <w:b/>
                <w:sz w:val="17"/>
                <w:szCs w:val="17"/>
                <w:lang w:eastAsia="de-DE"/>
              </w:rPr>
              <w:t>7</w:t>
            </w:r>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15118"/>
    <w:rsid w:val="000D0279"/>
    <w:rsid w:val="00181412"/>
    <w:rsid w:val="001A52C0"/>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07E7D"/>
    <w:rsid w:val="00AB4545"/>
    <w:rsid w:val="00B47287"/>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2611"/>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2018-05-23T09:15:00Z</dcterms:created>
  <dcterms:modified xsi:type="dcterms:W3CDTF">2018-05-23T09:15:00Z</dcterms:modified>
</cp:coreProperties>
</file>