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r w:rsidR="00AE6099">
        <w:rPr>
          <w:rFonts w:ascii="DejaVu Sans" w:hAnsi="DejaVu Sans" w:cs="DejaVu Sans"/>
          <w:b/>
          <w:color w:val="323E4F" w:themeColor="text2" w:themeShade="BF"/>
        </w:rPr>
        <w:t>6</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AE6099">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r w:rsidR="00AE6099">
              <w:rPr>
                <w:rFonts w:ascii="DejaVu Sans" w:hAnsi="DejaVu Sans" w:cs="DejaVu Sans"/>
                <w:color w:val="FFFFFF" w:themeColor="background1"/>
                <w:sz w:val="24"/>
                <w:szCs w:val="24"/>
              </w:rPr>
              <w:t>6</w:t>
            </w:r>
            <w:r w:rsidR="000D0279"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Abmessungen (</w:t>
            </w:r>
            <w:proofErr w:type="spellStart"/>
            <w:r w:rsidRPr="004F4BF8">
              <w:rPr>
                <w:rFonts w:ascii="DejaVu Sans" w:eastAsia="MS Mincho" w:hAnsi="DejaVu Sans" w:cs="DejaVu Sans"/>
                <w:sz w:val="17"/>
                <w:szCs w:val="17"/>
                <w:lang w:eastAsia="ja-JP"/>
              </w:rPr>
              <w:t>HxBxT</w:t>
            </w:r>
            <w:proofErr w:type="spellEnd"/>
            <w:r w:rsidRPr="004F4BF8">
              <w:rPr>
                <w:rFonts w:ascii="DejaVu Sans" w:eastAsia="MS Mincho" w:hAnsi="DejaVu Sans" w:cs="DejaVu Sans"/>
                <w:sz w:val="17"/>
                <w:szCs w:val="17"/>
                <w:lang w:eastAsia="ja-JP"/>
              </w:rPr>
              <w:t>):</w:t>
            </w:r>
            <w:r w:rsidRPr="004F4BF8">
              <w:rPr>
                <w:rFonts w:ascii="DejaVu Sans" w:eastAsia="MS Mincho" w:hAnsi="DejaVu Sans" w:cs="DejaVu Sans"/>
                <w:sz w:val="17"/>
                <w:szCs w:val="17"/>
                <w:lang w:eastAsia="ja-JP"/>
              </w:rPr>
              <w:tab/>
              <w:t>35 x 1</w:t>
            </w:r>
            <w:r w:rsidR="00AE6099">
              <w:rPr>
                <w:rFonts w:ascii="DejaVu Sans" w:eastAsia="MS Mincho" w:hAnsi="DejaVu Sans" w:cs="DejaVu Sans"/>
                <w:sz w:val="17"/>
                <w:szCs w:val="17"/>
                <w:lang w:eastAsia="ja-JP"/>
              </w:rPr>
              <w:t>50</w:t>
            </w:r>
            <w:r w:rsidRPr="004F4BF8">
              <w:rPr>
                <w:rFonts w:ascii="DejaVu Sans" w:eastAsia="MS Mincho" w:hAnsi="DejaVu Sans" w:cs="DejaVu Sans"/>
                <w:sz w:val="17"/>
                <w:szCs w:val="17"/>
                <w:lang w:eastAsia="ja-JP"/>
              </w:rPr>
              <w:t xml:space="preserve">0 x </w:t>
            </w:r>
            <w:r w:rsidR="00AE6099">
              <w:rPr>
                <w:rFonts w:ascii="DejaVu Sans" w:eastAsia="MS Mincho" w:hAnsi="DejaVu Sans" w:cs="DejaVu Sans"/>
                <w:sz w:val="17"/>
                <w:szCs w:val="17"/>
                <w:lang w:eastAsia="ja-JP"/>
              </w:rPr>
              <w:t>78</w:t>
            </w:r>
            <w:r w:rsidRPr="004F4BF8">
              <w:rPr>
                <w:rFonts w:ascii="DejaVu Sans" w:eastAsia="MS Mincho" w:hAnsi="DejaVu Sans" w:cs="DejaVu Sans"/>
                <w:sz w:val="17"/>
                <w:szCs w:val="17"/>
                <w:lang w:eastAsia="ja-JP"/>
              </w:rPr>
              <w:t>0 mm</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Wannenfläche:</w:t>
            </w:r>
            <w:r w:rsidRPr="004F4BF8">
              <w:rPr>
                <w:rFonts w:ascii="DejaVu Sans" w:eastAsia="MS Mincho" w:hAnsi="DejaVu Sans" w:cs="DejaVu Sans"/>
                <w:sz w:val="17"/>
                <w:szCs w:val="17"/>
                <w:lang w:eastAsia="ja-JP"/>
              </w:rPr>
              <w:tab/>
            </w:r>
            <w:r w:rsidRPr="004F4BF8">
              <w:rPr>
                <w:rFonts w:ascii="DejaVu Sans" w:eastAsia="MS Mincho" w:hAnsi="DejaVu Sans" w:cs="DejaVu Sans"/>
                <w:sz w:val="17"/>
                <w:szCs w:val="17"/>
                <w:lang w:eastAsia="ja-JP"/>
              </w:rPr>
              <w:tab/>
            </w:r>
            <w:r w:rsidR="00181412">
              <w:rPr>
                <w:rFonts w:ascii="DejaVu Sans" w:eastAsia="MS Mincho" w:hAnsi="DejaVu Sans" w:cs="DejaVu Sans"/>
                <w:sz w:val="17"/>
                <w:szCs w:val="17"/>
                <w:lang w:eastAsia="ja-JP"/>
              </w:rPr>
              <w:t>1</w:t>
            </w:r>
            <w:r w:rsidR="00AE6099">
              <w:rPr>
                <w:rFonts w:ascii="DejaVu Sans" w:eastAsia="MS Mincho" w:hAnsi="DejaVu Sans" w:cs="DejaVu Sans"/>
                <w:sz w:val="17"/>
                <w:szCs w:val="17"/>
                <w:lang w:eastAsia="ja-JP"/>
              </w:rPr>
              <w:t>,17</w:t>
            </w:r>
            <w:r w:rsidRPr="004F4BF8">
              <w:rPr>
                <w:rFonts w:ascii="DejaVu Sans" w:eastAsia="MS Mincho" w:hAnsi="DejaVu Sans" w:cs="DejaVu Sans"/>
                <w:sz w:val="17"/>
                <w:szCs w:val="17"/>
                <w:lang w:eastAsia="ja-JP"/>
              </w:rPr>
              <w:t xml:space="preserve"> m²</w:t>
            </w:r>
          </w:p>
          <w:p w:rsid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Fassungsvermögen:</w:t>
            </w:r>
            <w:r w:rsidRPr="004F4BF8">
              <w:rPr>
                <w:rFonts w:ascii="DejaVu Sans" w:eastAsia="MS Mincho" w:hAnsi="DejaVu Sans" w:cs="DejaVu Sans"/>
                <w:sz w:val="17"/>
                <w:szCs w:val="17"/>
                <w:lang w:eastAsia="ja-JP"/>
              </w:rPr>
              <w:tab/>
            </w:r>
            <w:r w:rsidR="00AE6099">
              <w:rPr>
                <w:rFonts w:ascii="DejaVu Sans" w:eastAsia="MS Mincho" w:hAnsi="DejaVu Sans" w:cs="DejaVu Sans"/>
                <w:sz w:val="17"/>
                <w:szCs w:val="17"/>
                <w:lang w:eastAsia="ja-JP"/>
              </w:rPr>
              <w:t>4,68</w:t>
            </w:r>
            <w:r w:rsidRPr="004F4BF8">
              <w:rPr>
                <w:rFonts w:ascii="DejaVu Sans" w:eastAsia="MS Mincho" w:hAnsi="DejaVu Sans" w:cs="DejaVu Sans"/>
                <w:sz w:val="17"/>
                <w:szCs w:val="17"/>
                <w:lang w:eastAsia="ja-JP"/>
              </w:rPr>
              <w:t xml:space="preserve"> Liter Öl</w:t>
            </w:r>
          </w:p>
          <w:p w:rsidR="00711301" w:rsidRPr="004F4BF8" w:rsidRDefault="00711301" w:rsidP="004F4BF8">
            <w:pPr>
              <w:autoSpaceDE w:val="0"/>
              <w:autoSpaceDN w:val="0"/>
              <w:adjustRightInd w:val="0"/>
              <w:rPr>
                <w:rFonts w:ascii="DejaVu Sans" w:eastAsia="MS Mincho" w:hAnsi="DejaVu Sans" w:cs="DejaVu Sans"/>
                <w:sz w:val="17"/>
                <w:szCs w:val="17"/>
                <w:lang w:eastAsia="ja-JP"/>
              </w:rPr>
            </w:pPr>
            <w:r>
              <w:rPr>
                <w:rFonts w:ascii="DejaVu Sans" w:eastAsia="MS Mincho" w:hAnsi="DejaVu Sans" w:cs="DejaVu Sans"/>
                <w:sz w:val="17"/>
                <w:szCs w:val="17"/>
                <w:lang w:eastAsia="ja-JP"/>
              </w:rPr>
              <w:t>Tragfähigkeit der mitgelieferten Füße: 400 kg</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Edelstahl-Auslaufstutzen, 20mm Außendurchmesser</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Kälte- und Klimaaußengeräte, die ölgeschmierte Kompressoren enthalten, verfügen über einen mit Kältemittel gefüllten Kältekreislauf. Im Kältekreislauf herrschen Kälte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mitteldrücke bis zu 40 bar. Bei einer Leckage strömt mit dem Kältemittel das Öl aus und würde eine Grundwasserverseuchung verursachen. Eine normale Auffang</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wanne würde bei Regen überlaufen und das Wasser-Ölgemisch ins Erdreich gelangen lassen.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Der Ölprotektor ist ein geprüftes Auffangsystem für darauf aufgestellte Kälte- und Klimaanlagen und verhindert entsprechend den rechtlichen Anforderungen, dass in den Ölprotektor gelaufene Öle, Wassergefährdungsklasse eins bis drei (WGK1-WGK3), bei Regen ausgespült werden. Im Ölprotektor befindliche Öle werden durch einen </w:t>
            </w:r>
            <w:proofErr w:type="spellStart"/>
            <w:r w:rsidRPr="004F4BF8">
              <w:rPr>
                <w:rFonts w:ascii="DejaVu Sans" w:eastAsia="Times New Roman" w:hAnsi="DejaVu Sans" w:cs="DejaVu Sans"/>
                <w:sz w:val="17"/>
                <w:szCs w:val="17"/>
                <w:lang w:eastAsia="de-DE"/>
              </w:rPr>
              <w:t>inte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grierten</w:t>
            </w:r>
            <w:proofErr w:type="spellEnd"/>
            <w:r w:rsidRPr="004F4BF8">
              <w:rPr>
                <w:rFonts w:ascii="DejaVu Sans" w:eastAsia="Times New Roman" w:hAnsi="DejaVu Sans" w:cs="DejaVu Sans"/>
                <w:sz w:val="17"/>
                <w:szCs w:val="17"/>
                <w:lang w:eastAsia="de-DE"/>
              </w:rPr>
              <w:t xml:space="preserve"> Ölabscheider zurückgehalten und erfüllt somit die Anforderungen nach </w:t>
            </w:r>
            <w:proofErr w:type="spellStart"/>
            <w:r w:rsidRPr="004F4BF8">
              <w:rPr>
                <w:rFonts w:ascii="DejaVu Sans" w:eastAsia="Times New Roman" w:hAnsi="DejaVu Sans" w:cs="DejaVu Sans"/>
                <w:sz w:val="17"/>
                <w:szCs w:val="17"/>
                <w:lang w:eastAsia="de-DE"/>
              </w:rPr>
              <w:t>WasgefStAnlV</w:t>
            </w:r>
            <w:proofErr w:type="spellEnd"/>
            <w:r w:rsidRPr="004F4BF8">
              <w:rPr>
                <w:rFonts w:ascii="DejaVu Sans" w:eastAsia="Times New Roman" w:hAnsi="DejaVu Sans" w:cs="DejaVu Sans"/>
                <w:sz w:val="17"/>
                <w:szCs w:val="17"/>
                <w:lang w:eastAsia="de-DE"/>
              </w:rPr>
              <w:t>.</w:t>
            </w:r>
            <w:r>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Der Ölprotektor ist ebenso für andere Maschinen und Geräte, die mit Öl gefüllt sind und außen aufgestellt werden, geeignet.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Das patentierte System des Ölprotektors arbeitet mit einem Ölabscheider mit Rück</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spülkammer</w:t>
            </w:r>
            <w:proofErr w:type="spellEnd"/>
            <w:r w:rsidRPr="004F4BF8">
              <w:rPr>
                <w:rFonts w:ascii="DejaVu Sans" w:eastAsia="Times New Roman" w:hAnsi="DejaVu Sans" w:cs="DejaVu Sans"/>
                <w:sz w:val="17"/>
                <w:szCs w:val="17"/>
                <w:lang w:eastAsia="de-DE"/>
              </w:rPr>
              <w:t xml:space="preserve">. Durch diese Rückspülkammer wird verhindert, dass Ölreste bei </w:t>
            </w:r>
            <w:proofErr w:type="spellStart"/>
            <w:r w:rsidRPr="004F4BF8">
              <w:rPr>
                <w:rFonts w:ascii="DejaVu Sans" w:eastAsia="Times New Roman" w:hAnsi="DejaVu Sans" w:cs="DejaVu Sans"/>
                <w:sz w:val="17"/>
                <w:szCs w:val="17"/>
                <w:lang w:eastAsia="de-DE"/>
              </w:rPr>
              <w:t>ausge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trockneter</w:t>
            </w:r>
            <w:proofErr w:type="spellEnd"/>
            <w:r w:rsidRPr="004F4BF8">
              <w:rPr>
                <w:rFonts w:ascii="DejaVu Sans" w:eastAsia="Times New Roman" w:hAnsi="DejaVu Sans" w:cs="DejaVu Sans"/>
                <w:sz w:val="17"/>
                <w:szCs w:val="17"/>
                <w:lang w:eastAsia="de-DE"/>
              </w:rPr>
              <w:t xml:space="preserve"> Wanne bis zum Auslauf vordringen können. Bei einsetzenden Regen füllt sich die Rückspülkammer dreimal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4F4BF8">
              <w:rPr>
                <w:rFonts w:ascii="DejaVu Sans" w:eastAsia="Times New Roman" w:hAnsi="DejaVu Sans" w:cs="DejaVu Sans"/>
                <w:sz w:val="17"/>
                <w:szCs w:val="17"/>
                <w:lang w:eastAsia="de-DE"/>
              </w:rPr>
              <w:t>gelaserte</w:t>
            </w:r>
            <w:proofErr w:type="spellEnd"/>
            <w:r w:rsidRPr="004F4BF8">
              <w:rPr>
                <w:rFonts w:ascii="DejaVu Sans" w:eastAsia="Times New Roman" w:hAnsi="DejaVu Sans" w:cs="DejaVu Sans"/>
                <w:sz w:val="17"/>
                <w:szCs w:val="17"/>
                <w:lang w:eastAsia="de-DE"/>
              </w:rPr>
              <w:t xml:space="preserve"> Kantenglättung</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garantiert zusätzlich den maximalen Abscheidegrad.</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Die dazu gehörenden Aufnahmen / Füße verbinden das Klimaaußengerät o.ä. mit dem Ölprotektor und dem Befestigungssystem für Wandmontage oder Bodenaufstellung. Die variablen Abmessungen und die große Anzahl von Standardgrößen erlauben die Installation von Verflüssigungssätzen und Maschinen vieler namhafter Hersteller und ermöglichen die Installation auf handelsüblichen Aufstellbalken, Schwingungsdämpfern und Wandkonsolen. Für die Standardgrößen (CUW-1 bis CUW-10) sind die Füße im Lieferumfang enthalten. Für Sondermaße werden bei Bedarf optional Aufstellsockel angeboten.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Der Ölprotektor ist ein Sicherheitssystem aus Edelstahl 1.4301 mit der Materialstärke von 1,5 mm. Gefertigt wird nach EN ISO 9445 und wird vom Hersteller bei Bedarf bestätigt (EN10204 Werksprüfzeugnis). Zum Schutz vor Korrosion wird der Protektor abschließend vollflächig gebeizt.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Mit dem Ölprotektor werden die Anforderungen nach § 62g ff. des WHG (Wasserhaus</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haltsgesetz</w:t>
            </w:r>
            <w:proofErr w:type="spellEnd"/>
            <w:r w:rsidRPr="004F4BF8">
              <w:rPr>
                <w:rFonts w:ascii="DejaVu Sans" w:eastAsia="Times New Roman" w:hAnsi="DejaVu Sans" w:cs="DejaVu Sans"/>
                <w:sz w:val="17"/>
                <w:szCs w:val="17"/>
                <w:lang w:eastAsia="de-DE"/>
              </w:rPr>
              <w:t xml:space="preserve">) </w:t>
            </w:r>
            <w:r w:rsidRPr="004F4BF8">
              <w:rPr>
                <w:rFonts w:ascii="DejaVu Sans" w:eastAsia="Times New Roman" w:hAnsi="DejaVu Sans" w:cs="DejaVu Sans"/>
                <w:bCs/>
                <w:sz w:val="17"/>
                <w:szCs w:val="17"/>
                <w:lang w:eastAsia="de-DE"/>
              </w:rPr>
              <w:t xml:space="preserve">und der </w:t>
            </w:r>
            <w:proofErr w:type="spellStart"/>
            <w:r w:rsidRPr="004F4BF8">
              <w:rPr>
                <w:rFonts w:ascii="DejaVu Sans" w:eastAsia="Times New Roman" w:hAnsi="DejaVu Sans" w:cs="DejaVu Sans"/>
                <w:bCs/>
                <w:sz w:val="17"/>
                <w:szCs w:val="17"/>
                <w:lang w:eastAsia="de-DE"/>
              </w:rPr>
              <w:t>AwSV</w:t>
            </w:r>
            <w:proofErr w:type="spellEnd"/>
            <w:r w:rsidRPr="004F4BF8">
              <w:rPr>
                <w:rFonts w:ascii="DejaVu Sans" w:eastAsia="Times New Roman" w:hAnsi="DejaVu Sans" w:cs="DejaVu Sans"/>
                <w:bCs/>
                <w:sz w:val="17"/>
                <w:szCs w:val="17"/>
                <w:lang w:eastAsia="de-DE"/>
              </w:rPr>
              <w:t xml:space="preserve"> (Anlagenverordnung) erfüllt</w:t>
            </w:r>
            <w:r w:rsidRPr="004F4BF8">
              <w:rPr>
                <w:rFonts w:ascii="DejaVu Sans" w:eastAsia="Times New Roman" w:hAnsi="DejaVu Sans" w:cs="DejaVu Sans"/>
                <w:sz w:val="17"/>
                <w:szCs w:val="17"/>
                <w:lang w:eastAsia="de-DE"/>
              </w:rPr>
              <w: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Optionales Zubehör </w:t>
            </w:r>
            <w:r w:rsidRPr="004F4BF8">
              <w:rPr>
                <w:rFonts w:ascii="DejaVu Sans" w:eastAsia="MS Mincho" w:hAnsi="DejaVu Sans" w:cs="DejaVu Sans"/>
                <w:sz w:val="17"/>
                <w:szCs w:val="17"/>
                <w:lang w:eastAsia="ja-JP"/>
              </w:rPr>
              <w:t>erhältlich</w:t>
            </w:r>
            <w:r w:rsidRPr="004F4BF8">
              <w:rPr>
                <w:rFonts w:ascii="DejaVu Sans" w:eastAsia="Times New Roman" w:hAnsi="DejaVu Sans" w:cs="DejaVu Sans"/>
                <w:sz w:val="17"/>
                <w:szCs w:val="17"/>
                <w:lang w:eastAsia="de-DE"/>
              </w:rPr>
              <w:t>:</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Laubschutzgitter</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Heizmatten und Thermostat in IP65 / UV-beständig für</w:t>
            </w:r>
            <w:r w:rsidR="00711301" w:rsidRPr="00711301">
              <w:rPr>
                <w:rFonts w:ascii="DejaVu Sans" w:eastAsia="Times New Roman" w:hAnsi="DejaVu Sans" w:cs="DejaVu Sans"/>
                <w:sz w:val="17"/>
                <w:szCs w:val="17"/>
                <w:lang w:eastAsia="de-DE"/>
              </w:rPr>
              <w:t xml:space="preserve"> </w:t>
            </w:r>
            <w:r w:rsidRPr="00711301">
              <w:rPr>
                <w:rFonts w:ascii="DejaVu Sans" w:eastAsia="Times New Roman" w:hAnsi="DejaVu Sans" w:cs="DejaVu Sans"/>
                <w:sz w:val="17"/>
                <w:szCs w:val="17"/>
                <w:lang w:eastAsia="de-DE"/>
              </w:rPr>
              <w:t>Ganzjahresbetrieb</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Sockelpodeste zur Aufstellung im Ölprotektor</w:t>
            </w:r>
          </w:p>
          <w:p w:rsidR="004F4BF8" w:rsidRPr="004F4BF8" w:rsidRDefault="004F4BF8" w:rsidP="00711301">
            <w:pPr>
              <w:ind w:left="352" w:hanging="283"/>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Werkstoff:</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Edelstahl 1.4301</w:t>
            </w: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Verarbeitung: Schweißungen nach DIN EN </w:t>
            </w:r>
            <w:r>
              <w:rPr>
                <w:rFonts w:ascii="DejaVu Sans" w:eastAsia="Times New Roman" w:hAnsi="DejaVu Sans" w:cs="DejaVu Sans"/>
                <w:sz w:val="17"/>
                <w:szCs w:val="17"/>
                <w:lang w:eastAsia="de-DE"/>
              </w:rPr>
              <w:t>9606-1</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Pr>
                <w:rFonts w:ascii="DejaVu Sans" w:eastAsia="Times New Roman" w:hAnsi="DejaVu Sans" w:cs="DejaVu Sans"/>
                <w:sz w:val="17"/>
                <w:szCs w:val="17"/>
                <w:lang w:eastAsia="de-DE"/>
              </w:rPr>
              <w:t>Die t</w:t>
            </w:r>
            <w:r w:rsidRPr="004F4BF8">
              <w:rPr>
                <w:rFonts w:ascii="DejaVu Sans" w:eastAsia="Times New Roman" w:hAnsi="DejaVu Sans" w:cs="DejaVu Sans"/>
                <w:sz w:val="17"/>
                <w:szCs w:val="17"/>
                <w:lang w:eastAsia="de-DE"/>
              </w:rPr>
              <w:t>echn</w:t>
            </w:r>
            <w:r>
              <w:rPr>
                <w:rFonts w:ascii="DejaVu Sans" w:eastAsia="Times New Roman" w:hAnsi="DejaVu Sans" w:cs="DejaVu Sans"/>
                <w:sz w:val="17"/>
                <w:szCs w:val="17"/>
                <w:lang w:eastAsia="de-DE"/>
              </w:rPr>
              <w:t>ische</w:t>
            </w:r>
            <w:r w:rsidRPr="004F4BF8">
              <w:rPr>
                <w:rFonts w:ascii="DejaVu Sans" w:eastAsia="Times New Roman" w:hAnsi="DejaVu Sans" w:cs="DejaVu Sans"/>
                <w:sz w:val="17"/>
                <w:szCs w:val="17"/>
                <w:lang w:eastAsia="de-DE"/>
              </w:rPr>
              <w:t xml:space="preserve"> Dokumentation umfasst die Installationsanweisung mit </w:t>
            </w:r>
            <w:r>
              <w:rPr>
                <w:rFonts w:ascii="DejaVu Sans" w:eastAsia="Times New Roman" w:hAnsi="DejaVu Sans" w:cs="DejaVu Sans"/>
                <w:sz w:val="17"/>
                <w:szCs w:val="17"/>
                <w:lang w:eastAsia="de-DE"/>
              </w:rPr>
              <w:t xml:space="preserve">den </w:t>
            </w:r>
            <w:r w:rsidRPr="004F4BF8">
              <w:rPr>
                <w:rFonts w:ascii="DejaVu Sans" w:eastAsia="Times New Roman" w:hAnsi="DejaVu Sans" w:cs="DejaVu Sans"/>
                <w:sz w:val="17"/>
                <w:szCs w:val="17"/>
                <w:lang w:eastAsia="de-DE"/>
              </w:rPr>
              <w:t>techn</w:t>
            </w:r>
            <w:r>
              <w:rPr>
                <w:rFonts w:ascii="DejaVu Sans" w:eastAsia="Times New Roman" w:hAnsi="DejaVu Sans" w:cs="DejaVu Sans"/>
                <w:sz w:val="17"/>
                <w:szCs w:val="17"/>
                <w:lang w:eastAsia="de-DE"/>
              </w:rPr>
              <w:t>ischen</w:t>
            </w:r>
            <w:r w:rsidRPr="004F4BF8">
              <w:rPr>
                <w:rFonts w:ascii="DejaVu Sans" w:eastAsia="Times New Roman" w:hAnsi="DejaVu Sans" w:cs="DejaVu Sans"/>
                <w:sz w:val="17"/>
                <w:szCs w:val="17"/>
                <w:lang w:eastAsia="de-DE"/>
              </w:rPr>
              <w:t xml:space="preserve"> Daten, Wartungshinweisen, </w:t>
            </w:r>
            <w:proofErr w:type="spellStart"/>
            <w:r w:rsidRPr="004F4BF8">
              <w:rPr>
                <w:rFonts w:ascii="DejaVu Sans" w:eastAsia="Times New Roman" w:hAnsi="DejaVu Sans" w:cs="DejaVu Sans"/>
                <w:sz w:val="17"/>
                <w:szCs w:val="17"/>
                <w:lang w:eastAsia="de-DE"/>
              </w:rPr>
              <w:t>Inbetriebnahmeinformationen</w:t>
            </w:r>
            <w:proofErr w:type="spellEnd"/>
            <w:r w:rsidRPr="004F4BF8">
              <w:rPr>
                <w:rFonts w:ascii="DejaVu Sans" w:eastAsia="Times New Roman" w:hAnsi="DejaVu Sans" w:cs="DejaVu Sans"/>
                <w:sz w:val="17"/>
                <w:szCs w:val="17"/>
                <w:lang w:eastAsia="de-DE"/>
              </w:rPr>
              <w:t xml:space="preserve"> sowie Angaben über die elektrische Ausrüstung, Ersatzteile und Kundendienst.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b/>
                <w:sz w:val="17"/>
                <w:szCs w:val="17"/>
                <w:lang w:eastAsia="de-DE"/>
              </w:rPr>
            </w:pPr>
            <w:r w:rsidRPr="004F4BF8">
              <w:rPr>
                <w:rFonts w:ascii="DejaVu Sans" w:eastAsia="Times New Roman" w:hAnsi="DejaVu Sans" w:cs="DejaVu Sans"/>
                <w:b/>
                <w:sz w:val="17"/>
                <w:szCs w:val="17"/>
                <w:lang w:eastAsia="de-DE"/>
              </w:rPr>
              <w:t>Produktbezeichnung: CUW-</w:t>
            </w:r>
            <w:r w:rsidR="00AE6099">
              <w:rPr>
                <w:rFonts w:ascii="DejaVu Sans" w:eastAsia="Times New Roman" w:hAnsi="DejaVu Sans" w:cs="DejaVu Sans"/>
                <w:b/>
                <w:sz w:val="17"/>
                <w:szCs w:val="17"/>
                <w:lang w:eastAsia="de-DE"/>
              </w:rPr>
              <w:t>6</w:t>
            </w:r>
            <w:bookmarkStart w:id="0" w:name="_GoBack"/>
            <w:bookmarkEnd w:id="0"/>
          </w:p>
          <w:p w:rsidR="00BD678A" w:rsidRPr="004F4BF8" w:rsidRDefault="00BD678A" w:rsidP="00BD678A">
            <w:pPr>
              <w:suppressAutoHyphens/>
              <w:jc w:val="both"/>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Bezugsnachweis:</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81412"/>
    <w:rsid w:val="001A52C0"/>
    <w:rsid w:val="004F4BF8"/>
    <w:rsid w:val="005674A2"/>
    <w:rsid w:val="0059126A"/>
    <w:rsid w:val="00640D2F"/>
    <w:rsid w:val="006541AA"/>
    <w:rsid w:val="006E02E1"/>
    <w:rsid w:val="00711301"/>
    <w:rsid w:val="00783AEF"/>
    <w:rsid w:val="007D7FE2"/>
    <w:rsid w:val="008709B2"/>
    <w:rsid w:val="0087396C"/>
    <w:rsid w:val="008D0129"/>
    <w:rsid w:val="008D2271"/>
    <w:rsid w:val="00902C82"/>
    <w:rsid w:val="00977727"/>
    <w:rsid w:val="00AB4545"/>
    <w:rsid w:val="00AE6099"/>
    <w:rsid w:val="00AF32A9"/>
    <w:rsid w:val="00B636B4"/>
    <w:rsid w:val="00BD678A"/>
    <w:rsid w:val="00BF1894"/>
    <w:rsid w:val="00C14EA1"/>
    <w:rsid w:val="00CB6BF0"/>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211E"/>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2018-05-23T09:19:00Z</dcterms:created>
  <dcterms:modified xsi:type="dcterms:W3CDTF">2018-05-23T09:19:00Z</dcterms:modified>
</cp:coreProperties>
</file>