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Ausschreibungstext </w:t>
      </w:r>
      <w:r>
        <w:rPr>
          <w:rFonts w:ascii="DejaVu Sans" w:hAnsi="DejaVu Sans" w:cs="DejaVu Sans"/>
          <w:b/>
          <w:color w:val="323E4F" w:themeColor="text2" w:themeShade="BF"/>
        </w:rPr>
        <w:t>AUW 1</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bookmarkStart w:id="0" w:name="_GoBack" w:colFirst="0" w:colLast="4"/>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0D0279" w:rsidP="000D0279">
            <w:pPr>
              <w:jc w:val="cente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AUW 1 Ölprotektor</w:t>
            </w:r>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bookmarkEnd w:id="0"/>
      <w:tr w:rsidR="000D0279" w:rsidRPr="000D0279" w:rsidTr="000D0279">
        <w:trPr>
          <w:trHeight w:val="12372"/>
        </w:trPr>
        <w:tc>
          <w:tcPr>
            <w:tcW w:w="509" w:type="dxa"/>
            <w:shd w:val="clear" w:color="auto" w:fill="FFFFFF" w:themeFill="background1"/>
          </w:tcPr>
          <w:p w:rsidR="0087396C" w:rsidRPr="000D0279"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0D0279"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0D0279" w:rsidRDefault="0059126A" w:rsidP="00BD678A">
            <w:pPr>
              <w:jc w:val="both"/>
              <w:rPr>
                <w:rFonts w:ascii="DejaVu Sans" w:eastAsia="Times New Roman" w:hAnsi="DejaVu Sans" w:cs="DejaVu Sans"/>
                <w:sz w:val="17"/>
                <w:szCs w:val="17"/>
                <w:lang w:eastAsia="de-DE"/>
              </w:rPr>
            </w:pPr>
          </w:p>
          <w:p w:rsidR="000D0279" w:rsidRPr="000D0279" w:rsidRDefault="000D0279" w:rsidP="00BD678A">
            <w:pPr>
              <w:suppressAutoHyphens/>
              <w:jc w:val="both"/>
              <w:rPr>
                <w:rFonts w:ascii="DejaVu Sans" w:eastAsia="Times New Roman" w:hAnsi="DejaVu Sans" w:cs="DejaVu Sans"/>
                <w:sz w:val="17"/>
                <w:szCs w:val="17"/>
                <w:lang w:eastAsia="ar-SA"/>
              </w:rPr>
            </w:pPr>
            <w:r w:rsidRPr="000D0279">
              <w:rPr>
                <w:rFonts w:ascii="DejaVu Sans" w:eastAsia="Times New Roman" w:hAnsi="DejaVu Sans" w:cs="DejaVu Sans"/>
                <w:sz w:val="17"/>
                <w:szCs w:val="17"/>
                <w:lang w:eastAsia="ar-SA"/>
              </w:rPr>
              <w:t>Abmessungen (</w:t>
            </w:r>
            <w:proofErr w:type="spellStart"/>
            <w:r w:rsidRPr="000D0279">
              <w:rPr>
                <w:rFonts w:ascii="DejaVu Sans" w:eastAsia="Times New Roman" w:hAnsi="DejaVu Sans" w:cs="DejaVu Sans"/>
                <w:sz w:val="17"/>
                <w:szCs w:val="17"/>
                <w:lang w:eastAsia="ar-SA"/>
              </w:rPr>
              <w:t>HxBxT</w:t>
            </w:r>
            <w:proofErr w:type="spellEnd"/>
            <w:r w:rsidRPr="000D0279">
              <w:rPr>
                <w:rFonts w:ascii="DejaVu Sans" w:eastAsia="Times New Roman" w:hAnsi="DejaVu Sans" w:cs="DejaVu Sans"/>
                <w:sz w:val="17"/>
                <w:szCs w:val="17"/>
                <w:lang w:eastAsia="ar-SA"/>
              </w:rPr>
              <w:t>):</w:t>
            </w:r>
            <w:r w:rsidRPr="000D0279">
              <w:rPr>
                <w:rFonts w:ascii="DejaVu Sans" w:eastAsia="Times New Roman" w:hAnsi="DejaVu Sans" w:cs="DejaVu Sans"/>
                <w:sz w:val="17"/>
                <w:szCs w:val="17"/>
                <w:lang w:eastAsia="ar-SA"/>
              </w:rPr>
              <w:tab/>
              <w:t>35 x 900 x 320 mm</w:t>
            </w:r>
          </w:p>
          <w:p w:rsidR="000D0279" w:rsidRPr="000D0279" w:rsidRDefault="000D0279" w:rsidP="00BD678A">
            <w:pPr>
              <w:suppressAutoHyphens/>
              <w:jc w:val="both"/>
              <w:rPr>
                <w:rFonts w:ascii="DejaVu Sans" w:eastAsia="Times New Roman" w:hAnsi="DejaVu Sans" w:cs="DejaVu Sans"/>
                <w:sz w:val="17"/>
                <w:szCs w:val="17"/>
                <w:lang w:eastAsia="ar-SA"/>
              </w:rPr>
            </w:pPr>
            <w:r w:rsidRPr="000D0279">
              <w:rPr>
                <w:rFonts w:ascii="DejaVu Sans" w:eastAsia="Times New Roman" w:hAnsi="DejaVu Sans" w:cs="DejaVu Sans"/>
                <w:sz w:val="17"/>
                <w:szCs w:val="17"/>
                <w:lang w:eastAsia="ar-SA"/>
              </w:rPr>
              <w:t>Wannenfläche:</w:t>
            </w:r>
            <w:r w:rsidRPr="000D0279">
              <w:rPr>
                <w:rFonts w:ascii="DejaVu Sans" w:eastAsia="Times New Roman" w:hAnsi="DejaVu Sans" w:cs="DejaVu Sans"/>
                <w:sz w:val="17"/>
                <w:szCs w:val="17"/>
                <w:lang w:eastAsia="ar-SA"/>
              </w:rPr>
              <w:tab/>
            </w:r>
            <w:r w:rsidRPr="000D0279">
              <w:rPr>
                <w:rFonts w:ascii="DejaVu Sans" w:eastAsia="Times New Roman" w:hAnsi="DejaVu Sans" w:cs="DejaVu Sans"/>
                <w:sz w:val="17"/>
                <w:szCs w:val="17"/>
                <w:lang w:eastAsia="ar-SA"/>
              </w:rPr>
              <w:tab/>
              <w:t>0,288 m²</w:t>
            </w:r>
          </w:p>
          <w:p w:rsidR="000D0279" w:rsidRPr="000D0279" w:rsidRDefault="000D0279" w:rsidP="00BD678A">
            <w:pPr>
              <w:suppressAutoHyphens/>
              <w:jc w:val="both"/>
              <w:rPr>
                <w:rFonts w:ascii="DejaVu Sans" w:eastAsia="Times New Roman" w:hAnsi="DejaVu Sans" w:cs="DejaVu Sans"/>
                <w:sz w:val="17"/>
                <w:szCs w:val="17"/>
                <w:lang w:eastAsia="ar-SA"/>
              </w:rPr>
            </w:pPr>
            <w:r w:rsidRPr="000D0279">
              <w:rPr>
                <w:rFonts w:ascii="DejaVu Sans" w:eastAsia="Times New Roman" w:hAnsi="DejaVu Sans" w:cs="DejaVu Sans"/>
                <w:sz w:val="17"/>
                <w:szCs w:val="17"/>
                <w:lang w:eastAsia="ar-SA"/>
              </w:rPr>
              <w:t>Fassungsvermögen:</w:t>
            </w:r>
            <w:r w:rsidRPr="000D0279">
              <w:rPr>
                <w:rFonts w:ascii="DejaVu Sans" w:eastAsia="Times New Roman" w:hAnsi="DejaVu Sans" w:cs="DejaVu Sans"/>
                <w:sz w:val="17"/>
                <w:szCs w:val="17"/>
                <w:lang w:eastAsia="ar-SA"/>
              </w:rPr>
              <w:tab/>
              <w:t>1,19  Liter Öl</w:t>
            </w:r>
          </w:p>
          <w:p w:rsidR="000D0279" w:rsidRPr="000D0279" w:rsidRDefault="000D0279" w:rsidP="00BD678A">
            <w:pPr>
              <w:suppressAutoHyphens/>
              <w:jc w:val="both"/>
              <w:rPr>
                <w:rFonts w:ascii="DejaVu Sans" w:eastAsia="Times New Roman" w:hAnsi="DejaVu Sans" w:cs="DejaVu Sans"/>
                <w:sz w:val="17"/>
                <w:szCs w:val="17"/>
                <w:lang w:eastAsia="ar-SA"/>
              </w:rPr>
            </w:pPr>
            <w:r w:rsidRPr="000D0279">
              <w:rPr>
                <w:rFonts w:ascii="DejaVu Sans" w:eastAsia="Times New Roman" w:hAnsi="DejaVu Sans" w:cs="DejaVu Sans"/>
                <w:sz w:val="17"/>
                <w:szCs w:val="17"/>
                <w:lang w:eastAsia="ar-SA"/>
              </w:rPr>
              <w:t xml:space="preserve">Tragfähigkeit der mitgelieferten Füße: </w:t>
            </w:r>
          </w:p>
          <w:p w:rsidR="000D0279" w:rsidRPr="000D0279" w:rsidRDefault="000D0279" w:rsidP="00BD678A">
            <w:pPr>
              <w:suppressAutoHyphens/>
              <w:jc w:val="both"/>
              <w:rPr>
                <w:rFonts w:ascii="DejaVu Sans" w:eastAsia="Times New Roman" w:hAnsi="DejaVu Sans" w:cs="DejaVu Sans"/>
                <w:sz w:val="17"/>
                <w:szCs w:val="17"/>
                <w:lang w:eastAsia="ar-SA"/>
              </w:rPr>
            </w:pPr>
            <w:r w:rsidRPr="000D0279">
              <w:rPr>
                <w:rFonts w:ascii="DejaVu Sans" w:eastAsia="Times New Roman" w:hAnsi="DejaVu Sans" w:cs="DejaVu Sans"/>
                <w:sz w:val="17"/>
                <w:szCs w:val="17"/>
                <w:lang w:eastAsia="ar-SA"/>
              </w:rPr>
              <w:t>AUW-1 und 2: 100 kg</w:t>
            </w:r>
          </w:p>
          <w:p w:rsidR="000D0279" w:rsidRPr="000D0279" w:rsidRDefault="000D0279" w:rsidP="00BD678A">
            <w:pPr>
              <w:suppressAutoHyphens/>
              <w:jc w:val="both"/>
              <w:rPr>
                <w:rFonts w:ascii="DejaVu Sans" w:eastAsia="Times New Roman" w:hAnsi="DejaVu Sans" w:cs="DejaVu Sans"/>
                <w:sz w:val="17"/>
                <w:szCs w:val="17"/>
                <w:lang w:eastAsia="ar-SA"/>
              </w:rPr>
            </w:pPr>
          </w:p>
          <w:p w:rsidR="000D0279" w:rsidRPr="000D0279" w:rsidRDefault="000D0279" w:rsidP="00BD678A">
            <w:pPr>
              <w:suppressAutoHyphens/>
              <w:jc w:val="both"/>
              <w:rPr>
                <w:rFonts w:ascii="DejaVu Sans" w:eastAsia="Times New Roman" w:hAnsi="DejaVu Sans" w:cs="DejaVu Sans"/>
                <w:sz w:val="17"/>
                <w:szCs w:val="17"/>
                <w:lang w:eastAsia="ar-SA"/>
              </w:rPr>
            </w:pPr>
            <w:r w:rsidRPr="000D0279">
              <w:rPr>
                <w:rFonts w:ascii="DejaVu Sans" w:eastAsia="Times New Roman" w:hAnsi="DejaVu Sans" w:cs="DejaVu Sans"/>
                <w:sz w:val="17"/>
                <w:szCs w:val="17"/>
                <w:lang w:eastAsia="ar-SA"/>
              </w:rPr>
              <w:t>Kälte- und Klimaaußengeräte, die ölgeschmierte Kompressoren enthalten, verfügen über einen mit Kältemittel gefüllten Kältekreislauf. Im Kältekreislauf herrschen Kältemittel</w:t>
            </w:r>
            <w:r w:rsidR="00BD678A">
              <w:rPr>
                <w:rFonts w:ascii="DejaVu Sans" w:eastAsia="Times New Roman" w:hAnsi="DejaVu Sans" w:cs="DejaVu Sans"/>
                <w:sz w:val="17"/>
                <w:szCs w:val="17"/>
                <w:lang w:eastAsia="ar-SA"/>
              </w:rPr>
              <w:t>-</w:t>
            </w:r>
            <w:r w:rsidRPr="000D0279">
              <w:rPr>
                <w:rFonts w:ascii="DejaVu Sans" w:eastAsia="Times New Roman" w:hAnsi="DejaVu Sans" w:cs="DejaVu Sans"/>
                <w:sz w:val="17"/>
                <w:szCs w:val="17"/>
                <w:lang w:eastAsia="ar-SA"/>
              </w:rPr>
              <w:t>drücke bis zu 40 bar. Bei einer Leckage strömt mit dem Kältemittel das Öl aus und würde eine Grundwasserverseuchung verursachen. Eine normale Auffangwanne würde bei Regen überlaufen und das Wasser-Ölgemisch ins Erdreich gelangen lassen.</w:t>
            </w:r>
          </w:p>
          <w:p w:rsidR="000D0279" w:rsidRPr="000D0279" w:rsidRDefault="000D0279" w:rsidP="00BD678A">
            <w:pPr>
              <w:suppressAutoHyphens/>
              <w:jc w:val="both"/>
              <w:rPr>
                <w:rFonts w:ascii="DejaVu Sans" w:eastAsia="Times New Roman" w:hAnsi="DejaVu Sans" w:cs="DejaVu Sans"/>
                <w:sz w:val="17"/>
                <w:szCs w:val="17"/>
                <w:lang w:eastAsia="ar-SA"/>
              </w:rPr>
            </w:pPr>
            <w:r w:rsidRPr="000D0279">
              <w:rPr>
                <w:rFonts w:ascii="DejaVu Sans" w:eastAsia="Times New Roman" w:hAnsi="DejaVu Sans" w:cs="DejaVu Sans"/>
                <w:sz w:val="17"/>
                <w:szCs w:val="17"/>
                <w:lang w:eastAsia="ar-SA"/>
              </w:rPr>
              <w:t xml:space="preserve">Der AUW ist ein Auffangsystem für darauf aufgestellte Kälte- und Klimaanlagen und verhindert entsprechend den rechtlichen Anforderungen, dass in den Protektor </w:t>
            </w:r>
            <w:r w:rsidR="00BD678A">
              <w:rPr>
                <w:rFonts w:ascii="DejaVu Sans" w:eastAsia="Times New Roman" w:hAnsi="DejaVu Sans" w:cs="DejaVu Sans"/>
                <w:sz w:val="17"/>
                <w:szCs w:val="17"/>
                <w:lang w:eastAsia="ar-SA"/>
              </w:rPr>
              <w:t>g</w:t>
            </w:r>
            <w:r w:rsidRPr="000D0279">
              <w:rPr>
                <w:rFonts w:ascii="DejaVu Sans" w:eastAsia="Times New Roman" w:hAnsi="DejaVu Sans" w:cs="DejaVu Sans"/>
                <w:sz w:val="17"/>
                <w:szCs w:val="17"/>
                <w:lang w:eastAsia="ar-SA"/>
              </w:rPr>
              <w:t>elaufene Öle, Wassergefährdungsklasse eins bis drei (WGK1-WGK3), bei Regen ausgespült werden. Im AUW befindliche Öle werden durch einen integrierten Ölabscheider zurückgehalten und erfüllt somit die Anforderungen nach WHG.</w:t>
            </w:r>
          </w:p>
          <w:p w:rsidR="000D0279" w:rsidRPr="000D0279" w:rsidRDefault="000D0279" w:rsidP="00BD678A">
            <w:pPr>
              <w:suppressAutoHyphens/>
              <w:jc w:val="both"/>
              <w:rPr>
                <w:rFonts w:ascii="DejaVu Sans" w:eastAsia="Times New Roman" w:hAnsi="DejaVu Sans" w:cs="DejaVu Sans"/>
                <w:sz w:val="17"/>
                <w:szCs w:val="17"/>
                <w:lang w:eastAsia="ar-SA"/>
              </w:rPr>
            </w:pPr>
            <w:r w:rsidRPr="000D0279">
              <w:rPr>
                <w:rFonts w:ascii="DejaVu Sans" w:eastAsia="Times New Roman" w:hAnsi="DejaVu Sans" w:cs="DejaVu Sans"/>
                <w:sz w:val="17"/>
                <w:szCs w:val="17"/>
                <w:lang w:eastAsia="ar-SA"/>
              </w:rPr>
              <w:t>Der AUW ist ebenso für andere Maschinen und Geräte, die mit Öl gefüllt sind und außen aufgestellt werden, geeignet.</w:t>
            </w:r>
          </w:p>
          <w:p w:rsidR="00BD678A" w:rsidRDefault="000D0279" w:rsidP="00BD678A">
            <w:pPr>
              <w:suppressAutoHyphens/>
              <w:jc w:val="both"/>
              <w:rPr>
                <w:rFonts w:ascii="DejaVu Sans" w:eastAsia="Times New Roman" w:hAnsi="DejaVu Sans" w:cs="DejaVu Sans"/>
                <w:sz w:val="17"/>
                <w:szCs w:val="17"/>
                <w:lang w:eastAsia="ar-SA"/>
              </w:rPr>
            </w:pPr>
            <w:r w:rsidRPr="000D0279">
              <w:rPr>
                <w:rFonts w:ascii="DejaVu Sans" w:eastAsia="Times New Roman" w:hAnsi="DejaVu Sans" w:cs="DejaVu Sans"/>
                <w:sz w:val="17"/>
                <w:szCs w:val="17"/>
                <w:lang w:eastAsia="ar-SA"/>
              </w:rPr>
              <w:t>Das patentierte System des AUW arbeitet mit einem Ölabscheider mit Rückspülkammer. Durch diese Rückspülkammer wird verhindert, dass Ölreste bei ausgetrockneter Wanne bis zum Auslauf vordringen können. Bei einsetzenden Regen füllt sich die Rückspül</w:t>
            </w:r>
            <w:r w:rsidR="00BD678A">
              <w:rPr>
                <w:rFonts w:ascii="DejaVu Sans" w:eastAsia="Times New Roman" w:hAnsi="DejaVu Sans" w:cs="DejaVu Sans"/>
                <w:sz w:val="17"/>
                <w:szCs w:val="17"/>
                <w:lang w:eastAsia="ar-SA"/>
              </w:rPr>
              <w:t>-</w:t>
            </w:r>
            <w:r w:rsidRPr="000D0279">
              <w:rPr>
                <w:rFonts w:ascii="DejaVu Sans" w:eastAsia="Times New Roman" w:hAnsi="DejaVu Sans" w:cs="DejaVu Sans"/>
                <w:sz w:val="17"/>
                <w:szCs w:val="17"/>
                <w:lang w:eastAsia="ar-SA"/>
              </w:rPr>
              <w:t>kammer zweimal schneller als der Rest der Wanne und spült sich in Richtung Auffang</w:t>
            </w:r>
            <w:r w:rsidR="00BD678A">
              <w:rPr>
                <w:rFonts w:ascii="DejaVu Sans" w:eastAsia="Times New Roman" w:hAnsi="DejaVu Sans" w:cs="DejaVu Sans"/>
                <w:sz w:val="17"/>
                <w:szCs w:val="17"/>
                <w:lang w:eastAsia="ar-SA"/>
              </w:rPr>
              <w:t>-</w:t>
            </w:r>
            <w:r w:rsidRPr="000D0279">
              <w:rPr>
                <w:rFonts w:ascii="DejaVu Sans" w:eastAsia="Times New Roman" w:hAnsi="DejaVu Sans" w:cs="DejaVu Sans"/>
                <w:sz w:val="17"/>
                <w:szCs w:val="17"/>
                <w:lang w:eastAsia="ar-SA"/>
              </w:rPr>
              <w:t xml:space="preserve">wanne frei. Der Abfluss ist so dimensioniert das der stärkst mögliche Dauerregen </w:t>
            </w:r>
          </w:p>
          <w:p w:rsidR="000D0279" w:rsidRPr="000D0279" w:rsidRDefault="000D0279" w:rsidP="00BD678A">
            <w:pPr>
              <w:suppressAutoHyphens/>
              <w:jc w:val="both"/>
              <w:rPr>
                <w:rFonts w:ascii="DejaVu Sans" w:eastAsia="Times New Roman" w:hAnsi="DejaVu Sans" w:cs="DejaVu Sans"/>
                <w:sz w:val="17"/>
                <w:szCs w:val="17"/>
                <w:lang w:eastAsia="ar-SA"/>
              </w:rPr>
            </w:pPr>
            <w:r w:rsidRPr="000D0279">
              <w:rPr>
                <w:rFonts w:ascii="DejaVu Sans" w:eastAsia="Times New Roman" w:hAnsi="DejaVu Sans" w:cs="DejaVu Sans"/>
                <w:sz w:val="17"/>
                <w:szCs w:val="17"/>
                <w:lang w:eastAsia="ar-SA"/>
              </w:rPr>
              <w:t>(lt. Deutschen Wetterdienst) sicher abgeführt wird. Die Spaltmaße innerhalb des Öl</w:t>
            </w:r>
            <w:r w:rsidR="00BD678A">
              <w:rPr>
                <w:rFonts w:ascii="DejaVu Sans" w:eastAsia="Times New Roman" w:hAnsi="DejaVu Sans" w:cs="DejaVu Sans"/>
                <w:sz w:val="17"/>
                <w:szCs w:val="17"/>
                <w:lang w:eastAsia="ar-SA"/>
              </w:rPr>
              <w:t>-</w:t>
            </w:r>
            <w:r w:rsidRPr="000D0279">
              <w:rPr>
                <w:rFonts w:ascii="DejaVu Sans" w:eastAsia="Times New Roman" w:hAnsi="DejaVu Sans" w:cs="DejaVu Sans"/>
                <w:sz w:val="17"/>
                <w:szCs w:val="17"/>
                <w:lang w:eastAsia="ar-SA"/>
              </w:rPr>
              <w:t xml:space="preserve">abscheiders sind so dimensioniert das eine optimale Ölabscheidung bei maximaler Durchflussmenge erreicht wird. Die </w:t>
            </w:r>
            <w:proofErr w:type="spellStart"/>
            <w:r w:rsidRPr="000D0279">
              <w:rPr>
                <w:rFonts w:ascii="DejaVu Sans" w:eastAsia="Times New Roman" w:hAnsi="DejaVu Sans" w:cs="DejaVu Sans"/>
                <w:sz w:val="17"/>
                <w:szCs w:val="17"/>
                <w:lang w:eastAsia="ar-SA"/>
              </w:rPr>
              <w:t>gelaserte</w:t>
            </w:r>
            <w:proofErr w:type="spellEnd"/>
            <w:r w:rsidRPr="000D0279">
              <w:rPr>
                <w:rFonts w:ascii="DejaVu Sans" w:eastAsia="Times New Roman" w:hAnsi="DejaVu Sans" w:cs="DejaVu Sans"/>
                <w:sz w:val="17"/>
                <w:szCs w:val="17"/>
                <w:lang w:eastAsia="ar-SA"/>
              </w:rPr>
              <w:t xml:space="preserve"> Kantenglättung garantiert zusätzlich den maximalen Abscheidegrad.</w:t>
            </w:r>
          </w:p>
          <w:p w:rsidR="000D0279" w:rsidRPr="000D0279" w:rsidRDefault="000D0279" w:rsidP="00BD678A">
            <w:pPr>
              <w:suppressAutoHyphens/>
              <w:jc w:val="both"/>
              <w:rPr>
                <w:rFonts w:ascii="DejaVu Sans" w:eastAsia="Times New Roman" w:hAnsi="DejaVu Sans" w:cs="DejaVu Sans"/>
                <w:sz w:val="17"/>
                <w:szCs w:val="17"/>
                <w:lang w:eastAsia="ar-SA"/>
              </w:rPr>
            </w:pPr>
          </w:p>
          <w:p w:rsidR="000D0279" w:rsidRPr="000D0279" w:rsidRDefault="000D0279" w:rsidP="00BD678A">
            <w:pPr>
              <w:suppressAutoHyphens/>
              <w:jc w:val="both"/>
              <w:rPr>
                <w:rFonts w:ascii="DejaVu Sans" w:eastAsia="Times New Roman" w:hAnsi="DejaVu Sans" w:cs="DejaVu Sans"/>
                <w:sz w:val="17"/>
                <w:szCs w:val="17"/>
                <w:lang w:eastAsia="ar-SA"/>
              </w:rPr>
            </w:pPr>
            <w:r w:rsidRPr="000D0279">
              <w:rPr>
                <w:rFonts w:ascii="DejaVu Sans" w:eastAsia="Times New Roman" w:hAnsi="DejaVu Sans" w:cs="DejaVu Sans"/>
                <w:sz w:val="17"/>
                <w:szCs w:val="17"/>
                <w:lang w:eastAsia="ar-SA"/>
              </w:rPr>
              <w:t>Die dazu gehörenden Aufnahmen / Füße verbinden das Klima-außengerät o.ä. mit dem AUW und dem Befestigungssystem für Wandmontage oder Bodenaufstellung. Die Abmessungen erlauben die Installation von Verflüssigungssätzen und Maschinen vieler namhafter Hersteller und ermöglichen die Installation auf handelsüblichen Aufstell</w:t>
            </w:r>
            <w:r w:rsidR="00BD678A">
              <w:rPr>
                <w:rFonts w:ascii="DejaVu Sans" w:eastAsia="Times New Roman" w:hAnsi="DejaVu Sans" w:cs="DejaVu Sans"/>
                <w:sz w:val="17"/>
                <w:szCs w:val="17"/>
                <w:lang w:eastAsia="ar-SA"/>
              </w:rPr>
              <w:t>-</w:t>
            </w:r>
            <w:r w:rsidRPr="000D0279">
              <w:rPr>
                <w:rFonts w:ascii="DejaVu Sans" w:eastAsia="Times New Roman" w:hAnsi="DejaVu Sans" w:cs="DejaVu Sans"/>
                <w:sz w:val="17"/>
                <w:szCs w:val="17"/>
                <w:lang w:eastAsia="ar-SA"/>
              </w:rPr>
              <w:t xml:space="preserve">balken, Schwingungsdämpfern und Wandkonsolen. Für die Standardgrößen (AUW-1 bis AUW-10) sind die Füße im Lieferumfang enthalten. </w:t>
            </w:r>
          </w:p>
          <w:p w:rsidR="000D0279" w:rsidRPr="000D0279" w:rsidRDefault="000D0279" w:rsidP="00BD678A">
            <w:pPr>
              <w:suppressAutoHyphens/>
              <w:jc w:val="both"/>
              <w:rPr>
                <w:rFonts w:ascii="DejaVu Sans" w:eastAsia="Times New Roman" w:hAnsi="DejaVu Sans" w:cs="DejaVu Sans"/>
                <w:sz w:val="17"/>
                <w:szCs w:val="17"/>
                <w:lang w:eastAsia="ar-SA"/>
              </w:rPr>
            </w:pPr>
            <w:r w:rsidRPr="000D0279">
              <w:rPr>
                <w:rFonts w:ascii="DejaVu Sans" w:eastAsia="Times New Roman" w:hAnsi="DejaVu Sans" w:cs="DejaVu Sans"/>
                <w:sz w:val="17"/>
                <w:szCs w:val="17"/>
                <w:lang w:eastAsia="ar-SA"/>
              </w:rPr>
              <w:t>Der AUW ist ein Sicherheitssystem aus Aluminium AlMg3 mit der Materialstärke von 1,5 mm. Gefertigt wird nach EN ISO 573/485, viertelhart H12/22, EN AW-5754.</w:t>
            </w:r>
          </w:p>
          <w:p w:rsidR="000D0279" w:rsidRPr="000D0279" w:rsidRDefault="000D0279" w:rsidP="00BD678A">
            <w:pPr>
              <w:suppressAutoHyphens/>
              <w:autoSpaceDE w:val="0"/>
              <w:autoSpaceDN w:val="0"/>
              <w:adjustRightInd w:val="0"/>
              <w:jc w:val="both"/>
              <w:rPr>
                <w:rFonts w:ascii="DejaVu Sans" w:eastAsia="Times New Roman" w:hAnsi="DejaVu Sans" w:cs="DejaVu Sans"/>
                <w:sz w:val="17"/>
                <w:szCs w:val="17"/>
                <w:lang w:eastAsia="ar-SA"/>
              </w:rPr>
            </w:pPr>
            <w:r w:rsidRPr="000D0279">
              <w:rPr>
                <w:rFonts w:ascii="DejaVu Sans" w:eastAsia="Times New Roman" w:hAnsi="DejaVu Sans" w:cs="DejaVu Sans"/>
                <w:sz w:val="17"/>
                <w:szCs w:val="17"/>
                <w:lang w:eastAsia="ar-SA"/>
              </w:rPr>
              <w:t>Mit dem AUW werden die Anforderungen nach § 62g ff. des WHG (Wasserhaushalts</w:t>
            </w:r>
            <w:r w:rsidR="00BD678A">
              <w:rPr>
                <w:rFonts w:ascii="DejaVu Sans" w:eastAsia="Times New Roman" w:hAnsi="DejaVu Sans" w:cs="DejaVu Sans"/>
                <w:sz w:val="17"/>
                <w:szCs w:val="17"/>
                <w:lang w:eastAsia="ar-SA"/>
              </w:rPr>
              <w:t>-</w:t>
            </w:r>
            <w:r w:rsidRPr="000D0279">
              <w:rPr>
                <w:rFonts w:ascii="DejaVu Sans" w:eastAsia="Times New Roman" w:hAnsi="DejaVu Sans" w:cs="DejaVu Sans"/>
                <w:sz w:val="17"/>
                <w:szCs w:val="17"/>
                <w:lang w:eastAsia="ar-SA"/>
              </w:rPr>
              <w:t xml:space="preserve">gesetz) </w:t>
            </w:r>
            <w:r w:rsidRPr="000D0279">
              <w:rPr>
                <w:rFonts w:ascii="DejaVu Sans" w:eastAsia="Times New Roman" w:hAnsi="DejaVu Sans" w:cs="DejaVu Sans"/>
                <w:bCs/>
                <w:sz w:val="17"/>
                <w:szCs w:val="17"/>
                <w:lang w:eastAsia="ar-SA"/>
              </w:rPr>
              <w:t xml:space="preserve">und der </w:t>
            </w:r>
            <w:proofErr w:type="spellStart"/>
            <w:r w:rsidRPr="000D0279">
              <w:rPr>
                <w:rFonts w:ascii="DejaVu Sans" w:eastAsia="Times New Roman" w:hAnsi="DejaVu Sans" w:cs="DejaVu Sans"/>
                <w:bCs/>
                <w:sz w:val="17"/>
                <w:szCs w:val="17"/>
                <w:lang w:eastAsia="ar-SA"/>
              </w:rPr>
              <w:t>AwSV</w:t>
            </w:r>
            <w:proofErr w:type="spellEnd"/>
            <w:r w:rsidRPr="000D0279">
              <w:rPr>
                <w:rFonts w:ascii="DejaVu Sans" w:eastAsia="Times New Roman" w:hAnsi="DejaVu Sans" w:cs="DejaVu Sans"/>
                <w:bCs/>
                <w:sz w:val="17"/>
                <w:szCs w:val="17"/>
                <w:lang w:eastAsia="ar-SA"/>
              </w:rPr>
              <w:t xml:space="preserve"> (Anlagenverordnung) erfüllt</w:t>
            </w:r>
            <w:r w:rsidRPr="000D0279">
              <w:rPr>
                <w:rFonts w:ascii="DejaVu Sans" w:eastAsia="Times New Roman" w:hAnsi="DejaVu Sans" w:cs="DejaVu Sans"/>
                <w:sz w:val="17"/>
                <w:szCs w:val="17"/>
                <w:lang w:eastAsia="ar-SA"/>
              </w:rPr>
              <w:t>.</w:t>
            </w:r>
          </w:p>
          <w:p w:rsidR="000D0279" w:rsidRPr="000D0279" w:rsidRDefault="000D0279" w:rsidP="00BD678A">
            <w:pPr>
              <w:suppressAutoHyphens/>
              <w:jc w:val="both"/>
              <w:rPr>
                <w:rFonts w:ascii="DejaVu Sans" w:eastAsia="Times New Roman" w:hAnsi="DejaVu Sans" w:cs="DejaVu Sans"/>
                <w:sz w:val="17"/>
                <w:szCs w:val="17"/>
                <w:lang w:eastAsia="ar-SA"/>
              </w:rPr>
            </w:pPr>
          </w:p>
          <w:p w:rsidR="000D0279" w:rsidRPr="000D0279" w:rsidRDefault="000D0279" w:rsidP="00BD678A">
            <w:pPr>
              <w:suppressAutoHyphens/>
              <w:jc w:val="both"/>
              <w:rPr>
                <w:rFonts w:ascii="DejaVu Sans" w:eastAsia="Times New Roman" w:hAnsi="DejaVu Sans" w:cs="DejaVu Sans"/>
                <w:sz w:val="17"/>
                <w:szCs w:val="17"/>
                <w:lang w:eastAsia="ar-SA"/>
              </w:rPr>
            </w:pPr>
            <w:r w:rsidRPr="000D0279">
              <w:rPr>
                <w:rFonts w:ascii="DejaVu Sans" w:eastAsia="Times New Roman" w:hAnsi="DejaVu Sans" w:cs="DejaVu Sans"/>
                <w:sz w:val="17"/>
                <w:szCs w:val="17"/>
                <w:lang w:eastAsia="ar-SA"/>
              </w:rPr>
              <w:t>Optionales Zubehör erhältlich:</w:t>
            </w:r>
          </w:p>
          <w:p w:rsidR="000D0279" w:rsidRPr="000D0279" w:rsidRDefault="000D0279" w:rsidP="00BD678A">
            <w:pPr>
              <w:suppressAutoHyphens/>
              <w:jc w:val="both"/>
              <w:rPr>
                <w:rFonts w:ascii="DejaVu Sans" w:eastAsia="Times New Roman" w:hAnsi="DejaVu Sans" w:cs="DejaVu Sans"/>
                <w:sz w:val="17"/>
                <w:szCs w:val="17"/>
                <w:lang w:eastAsia="ar-SA"/>
              </w:rPr>
            </w:pPr>
            <w:r w:rsidRPr="000D0279">
              <w:rPr>
                <w:rFonts w:ascii="DejaVu Sans" w:eastAsia="Times New Roman" w:hAnsi="DejaVu Sans" w:cs="DejaVu Sans"/>
                <w:sz w:val="17"/>
                <w:szCs w:val="17"/>
                <w:lang w:eastAsia="ar-SA"/>
              </w:rPr>
              <w:t xml:space="preserve">-   </w:t>
            </w:r>
            <w:r>
              <w:rPr>
                <w:rFonts w:ascii="DejaVu Sans" w:eastAsia="Times New Roman" w:hAnsi="DejaVu Sans" w:cs="DejaVu Sans"/>
                <w:sz w:val="17"/>
                <w:szCs w:val="17"/>
                <w:lang w:eastAsia="ar-SA"/>
              </w:rPr>
              <w:t>L</w:t>
            </w:r>
            <w:r w:rsidRPr="000D0279">
              <w:rPr>
                <w:rFonts w:ascii="DejaVu Sans" w:eastAsia="Times New Roman" w:hAnsi="DejaVu Sans" w:cs="DejaVu Sans"/>
                <w:sz w:val="17"/>
                <w:szCs w:val="17"/>
                <w:lang w:eastAsia="ar-SA"/>
              </w:rPr>
              <w:t>aubschutzgitter</w:t>
            </w:r>
          </w:p>
          <w:p w:rsidR="000D0279" w:rsidRDefault="000D0279" w:rsidP="00BD678A">
            <w:pPr>
              <w:suppressAutoHyphens/>
              <w:jc w:val="both"/>
              <w:rPr>
                <w:rFonts w:ascii="DejaVu Sans" w:eastAsia="Times New Roman" w:hAnsi="DejaVu Sans" w:cs="DejaVu Sans"/>
                <w:sz w:val="17"/>
                <w:szCs w:val="17"/>
                <w:lang w:eastAsia="ar-SA"/>
              </w:rPr>
            </w:pPr>
            <w:r w:rsidRPr="000D0279">
              <w:rPr>
                <w:rFonts w:ascii="DejaVu Sans" w:eastAsia="Times New Roman" w:hAnsi="DejaVu Sans" w:cs="DejaVu Sans"/>
                <w:sz w:val="17"/>
                <w:szCs w:val="17"/>
                <w:lang w:eastAsia="ar-SA"/>
              </w:rPr>
              <w:t xml:space="preserve">-   Heizmatten und Thermostat in IP65 / UV-beständig für </w:t>
            </w:r>
          </w:p>
          <w:p w:rsidR="000D0279" w:rsidRPr="000D0279" w:rsidRDefault="000D0279" w:rsidP="00BD678A">
            <w:pPr>
              <w:suppressAutoHyphens/>
              <w:jc w:val="both"/>
              <w:rPr>
                <w:rFonts w:ascii="DejaVu Sans" w:eastAsia="Times New Roman" w:hAnsi="DejaVu Sans" w:cs="DejaVu Sans"/>
                <w:sz w:val="17"/>
                <w:szCs w:val="17"/>
                <w:lang w:eastAsia="ar-SA"/>
              </w:rPr>
            </w:pPr>
            <w:r>
              <w:rPr>
                <w:rFonts w:ascii="DejaVu Sans" w:eastAsia="Times New Roman" w:hAnsi="DejaVu Sans" w:cs="DejaVu Sans"/>
                <w:sz w:val="17"/>
                <w:szCs w:val="17"/>
                <w:lang w:eastAsia="ar-SA"/>
              </w:rPr>
              <w:t xml:space="preserve">    </w:t>
            </w:r>
            <w:r w:rsidRPr="000D0279">
              <w:rPr>
                <w:rFonts w:ascii="DejaVu Sans" w:eastAsia="Times New Roman" w:hAnsi="DejaVu Sans" w:cs="DejaVu Sans"/>
                <w:sz w:val="17"/>
                <w:szCs w:val="17"/>
                <w:lang w:eastAsia="ar-SA"/>
              </w:rPr>
              <w:t>Ganzjahresbetrieb</w:t>
            </w:r>
          </w:p>
          <w:p w:rsidR="000D0279" w:rsidRPr="000D0279" w:rsidRDefault="000D0279" w:rsidP="00BD678A">
            <w:pPr>
              <w:suppressAutoHyphens/>
              <w:jc w:val="both"/>
              <w:rPr>
                <w:rFonts w:ascii="DejaVu Sans" w:eastAsia="Times New Roman" w:hAnsi="DejaVu Sans" w:cs="DejaVu Sans"/>
                <w:sz w:val="17"/>
                <w:szCs w:val="17"/>
                <w:lang w:eastAsia="ar-SA"/>
              </w:rPr>
            </w:pPr>
          </w:p>
          <w:p w:rsidR="000D0279" w:rsidRPr="000D0279" w:rsidRDefault="000D0279" w:rsidP="00BD678A">
            <w:pPr>
              <w:suppressAutoHyphens/>
              <w:jc w:val="both"/>
              <w:rPr>
                <w:rFonts w:ascii="DejaVu Sans" w:eastAsia="Times New Roman" w:hAnsi="DejaVu Sans" w:cs="DejaVu Sans"/>
                <w:sz w:val="17"/>
                <w:szCs w:val="17"/>
                <w:lang w:eastAsia="ar-SA"/>
              </w:rPr>
            </w:pPr>
            <w:r w:rsidRPr="000D0279">
              <w:rPr>
                <w:rFonts w:ascii="DejaVu Sans" w:eastAsia="Times New Roman" w:hAnsi="DejaVu Sans" w:cs="DejaVu Sans"/>
                <w:sz w:val="17"/>
                <w:szCs w:val="17"/>
                <w:lang w:eastAsia="ar-SA"/>
              </w:rPr>
              <w:t xml:space="preserve">Werkstoff: </w:t>
            </w:r>
            <w:r>
              <w:rPr>
                <w:rFonts w:ascii="DejaVu Sans" w:eastAsia="Times New Roman" w:hAnsi="DejaVu Sans" w:cs="DejaVu Sans"/>
                <w:sz w:val="17"/>
                <w:szCs w:val="17"/>
                <w:lang w:eastAsia="ar-SA"/>
              </w:rPr>
              <w:t xml:space="preserve">              </w:t>
            </w:r>
            <w:r w:rsidRPr="000D0279">
              <w:rPr>
                <w:rFonts w:ascii="DejaVu Sans" w:eastAsia="Times New Roman" w:hAnsi="DejaVu Sans" w:cs="DejaVu Sans"/>
                <w:sz w:val="17"/>
                <w:szCs w:val="17"/>
                <w:lang w:eastAsia="ar-SA"/>
              </w:rPr>
              <w:t>Aluminium AlMg3</w:t>
            </w:r>
          </w:p>
          <w:p w:rsidR="000D0279" w:rsidRPr="000D0279" w:rsidRDefault="000D0279" w:rsidP="00BD678A">
            <w:pPr>
              <w:suppressAutoHyphens/>
              <w:jc w:val="both"/>
              <w:rPr>
                <w:rFonts w:ascii="DejaVu Sans" w:eastAsia="Times New Roman" w:hAnsi="DejaVu Sans" w:cs="DejaVu Sans"/>
                <w:sz w:val="17"/>
                <w:szCs w:val="17"/>
                <w:lang w:eastAsia="ar-SA"/>
              </w:rPr>
            </w:pPr>
            <w:r w:rsidRPr="000D0279">
              <w:rPr>
                <w:rFonts w:ascii="DejaVu Sans" w:eastAsia="Times New Roman" w:hAnsi="DejaVu Sans" w:cs="DejaVu Sans"/>
                <w:sz w:val="17"/>
                <w:szCs w:val="17"/>
                <w:lang w:eastAsia="ar-SA"/>
              </w:rPr>
              <w:t xml:space="preserve">Verarbeitung: </w:t>
            </w:r>
            <w:r>
              <w:rPr>
                <w:rFonts w:ascii="DejaVu Sans" w:eastAsia="Times New Roman" w:hAnsi="DejaVu Sans" w:cs="DejaVu Sans"/>
                <w:sz w:val="17"/>
                <w:szCs w:val="17"/>
                <w:lang w:eastAsia="ar-SA"/>
              </w:rPr>
              <w:t xml:space="preserve">         </w:t>
            </w:r>
            <w:r w:rsidRPr="000D0279">
              <w:rPr>
                <w:rFonts w:ascii="DejaVu Sans" w:eastAsia="Times New Roman" w:hAnsi="DejaVu Sans" w:cs="DejaVu Sans"/>
                <w:sz w:val="17"/>
                <w:szCs w:val="17"/>
                <w:lang w:eastAsia="ar-SA"/>
              </w:rPr>
              <w:t xml:space="preserve">Schweißungen nach DIN EN </w:t>
            </w:r>
            <w:r>
              <w:rPr>
                <w:rFonts w:ascii="DejaVu Sans" w:eastAsia="Times New Roman" w:hAnsi="DejaVu Sans" w:cs="DejaVu Sans"/>
                <w:sz w:val="17"/>
                <w:szCs w:val="17"/>
                <w:lang w:eastAsia="ar-SA"/>
              </w:rPr>
              <w:t>9606-1</w:t>
            </w:r>
          </w:p>
          <w:p w:rsidR="000D0279" w:rsidRPr="000D0279" w:rsidRDefault="000D0279" w:rsidP="00BD678A">
            <w:pPr>
              <w:suppressAutoHyphens/>
              <w:jc w:val="both"/>
              <w:rPr>
                <w:rFonts w:ascii="DejaVu Sans" w:eastAsia="Times New Roman" w:hAnsi="DejaVu Sans" w:cs="DejaVu Sans"/>
                <w:sz w:val="17"/>
                <w:szCs w:val="17"/>
                <w:lang w:eastAsia="ar-SA"/>
              </w:rPr>
            </w:pPr>
            <w:r w:rsidRPr="000D0279">
              <w:rPr>
                <w:rFonts w:ascii="DejaVu Sans" w:eastAsia="Times New Roman" w:hAnsi="DejaVu Sans" w:cs="DejaVu Sans"/>
                <w:sz w:val="17"/>
                <w:szCs w:val="17"/>
                <w:lang w:eastAsia="ar-SA"/>
              </w:rPr>
              <w:t xml:space="preserve">Schweißprüfungen: DIN EN </w:t>
            </w:r>
            <w:r>
              <w:rPr>
                <w:rFonts w:ascii="DejaVu Sans" w:eastAsia="Times New Roman" w:hAnsi="DejaVu Sans" w:cs="DejaVu Sans"/>
                <w:sz w:val="17"/>
                <w:szCs w:val="17"/>
                <w:lang w:eastAsia="ar-SA"/>
              </w:rPr>
              <w:t>9606-1</w:t>
            </w:r>
          </w:p>
          <w:p w:rsidR="000D0279" w:rsidRPr="000D0279" w:rsidRDefault="000D0279" w:rsidP="00BD678A">
            <w:pPr>
              <w:suppressAutoHyphens/>
              <w:jc w:val="both"/>
              <w:rPr>
                <w:rFonts w:ascii="DejaVu Sans" w:eastAsia="Times New Roman" w:hAnsi="DejaVu Sans" w:cs="DejaVu Sans"/>
                <w:sz w:val="17"/>
                <w:szCs w:val="17"/>
                <w:lang w:eastAsia="ar-SA"/>
              </w:rPr>
            </w:pPr>
          </w:p>
          <w:p w:rsidR="000D0279" w:rsidRDefault="00BD678A" w:rsidP="00BD678A">
            <w:pPr>
              <w:suppressAutoHyphens/>
              <w:jc w:val="both"/>
              <w:rPr>
                <w:rFonts w:ascii="DejaVu Sans" w:eastAsia="Times New Roman" w:hAnsi="DejaVu Sans" w:cs="DejaVu Sans"/>
                <w:sz w:val="17"/>
                <w:szCs w:val="17"/>
                <w:lang w:eastAsia="ar-SA"/>
              </w:rPr>
            </w:pPr>
            <w:r>
              <w:rPr>
                <w:rFonts w:ascii="DejaVu Sans" w:eastAsia="Times New Roman" w:hAnsi="DejaVu Sans" w:cs="DejaVu Sans"/>
                <w:sz w:val="17"/>
                <w:szCs w:val="17"/>
                <w:lang w:eastAsia="ar-SA"/>
              </w:rPr>
              <w:t>Die t</w:t>
            </w:r>
            <w:r w:rsidR="000D0279" w:rsidRPr="000D0279">
              <w:rPr>
                <w:rFonts w:ascii="DejaVu Sans" w:eastAsia="Times New Roman" w:hAnsi="DejaVu Sans" w:cs="DejaVu Sans"/>
                <w:sz w:val="17"/>
                <w:szCs w:val="17"/>
                <w:lang w:eastAsia="ar-SA"/>
              </w:rPr>
              <w:t>echn</w:t>
            </w:r>
            <w:r>
              <w:rPr>
                <w:rFonts w:ascii="DejaVu Sans" w:eastAsia="Times New Roman" w:hAnsi="DejaVu Sans" w:cs="DejaVu Sans"/>
                <w:sz w:val="17"/>
                <w:szCs w:val="17"/>
                <w:lang w:eastAsia="ar-SA"/>
              </w:rPr>
              <w:t>ische</w:t>
            </w:r>
            <w:r w:rsidR="000D0279" w:rsidRPr="000D0279">
              <w:rPr>
                <w:rFonts w:ascii="DejaVu Sans" w:eastAsia="Times New Roman" w:hAnsi="DejaVu Sans" w:cs="DejaVu Sans"/>
                <w:sz w:val="17"/>
                <w:szCs w:val="17"/>
                <w:lang w:eastAsia="ar-SA"/>
              </w:rPr>
              <w:t xml:space="preserve"> Dokumentation umfasst die Installationsanweisung mit techn</w:t>
            </w:r>
            <w:r>
              <w:rPr>
                <w:rFonts w:ascii="DejaVu Sans" w:eastAsia="Times New Roman" w:hAnsi="DejaVu Sans" w:cs="DejaVu Sans"/>
                <w:sz w:val="17"/>
                <w:szCs w:val="17"/>
                <w:lang w:eastAsia="ar-SA"/>
              </w:rPr>
              <w:t>ischen</w:t>
            </w:r>
            <w:r w:rsidR="000D0279" w:rsidRPr="000D0279">
              <w:rPr>
                <w:rFonts w:ascii="DejaVu Sans" w:eastAsia="Times New Roman" w:hAnsi="DejaVu Sans" w:cs="DejaVu Sans"/>
                <w:sz w:val="17"/>
                <w:szCs w:val="17"/>
                <w:lang w:eastAsia="ar-SA"/>
              </w:rPr>
              <w:t xml:space="preserve"> Daten, Wartungshinweisen, </w:t>
            </w:r>
            <w:proofErr w:type="spellStart"/>
            <w:r w:rsidR="000D0279" w:rsidRPr="000D0279">
              <w:rPr>
                <w:rFonts w:ascii="DejaVu Sans" w:eastAsia="Times New Roman" w:hAnsi="DejaVu Sans" w:cs="DejaVu Sans"/>
                <w:sz w:val="17"/>
                <w:szCs w:val="17"/>
                <w:lang w:eastAsia="ar-SA"/>
              </w:rPr>
              <w:t>Inbetriebnahmeinformationen</w:t>
            </w:r>
            <w:proofErr w:type="spellEnd"/>
            <w:r w:rsidR="000D0279" w:rsidRPr="000D0279">
              <w:rPr>
                <w:rFonts w:ascii="DejaVu Sans" w:eastAsia="Times New Roman" w:hAnsi="DejaVu Sans" w:cs="DejaVu Sans"/>
                <w:sz w:val="17"/>
                <w:szCs w:val="17"/>
                <w:lang w:eastAsia="ar-SA"/>
              </w:rPr>
              <w:t xml:space="preserve"> sowie Angaben über die elektrische Ausrüstung, Ersatzteile und </w:t>
            </w:r>
            <w:r w:rsidR="000D0279">
              <w:rPr>
                <w:rFonts w:ascii="DejaVu Sans" w:eastAsia="Times New Roman" w:hAnsi="DejaVu Sans" w:cs="DejaVu Sans"/>
                <w:sz w:val="17"/>
                <w:szCs w:val="17"/>
                <w:lang w:eastAsia="ar-SA"/>
              </w:rPr>
              <w:t>Ku</w:t>
            </w:r>
            <w:r w:rsidR="000D0279" w:rsidRPr="000D0279">
              <w:rPr>
                <w:rFonts w:ascii="DejaVu Sans" w:eastAsia="Times New Roman" w:hAnsi="DejaVu Sans" w:cs="DejaVu Sans"/>
                <w:sz w:val="17"/>
                <w:szCs w:val="17"/>
                <w:lang w:eastAsia="ar-SA"/>
              </w:rPr>
              <w:t>ndendienst.</w:t>
            </w:r>
          </w:p>
          <w:p w:rsidR="00BD678A" w:rsidRDefault="00BD678A" w:rsidP="00BD678A">
            <w:pPr>
              <w:suppressAutoHyphens/>
              <w:jc w:val="both"/>
              <w:rPr>
                <w:rFonts w:ascii="DejaVu Sans" w:eastAsia="Times New Roman" w:hAnsi="DejaVu Sans" w:cs="DejaVu Sans"/>
                <w:sz w:val="17"/>
                <w:szCs w:val="17"/>
                <w:lang w:eastAsia="ar-SA"/>
              </w:rPr>
            </w:pPr>
          </w:p>
          <w:p w:rsidR="00BD678A" w:rsidRPr="00BF1894" w:rsidRDefault="00BD678A" w:rsidP="00BD678A">
            <w:pPr>
              <w:suppressAutoHyphens/>
              <w:jc w:val="both"/>
              <w:rPr>
                <w:rFonts w:ascii="DejaVu Sans" w:eastAsia="Times New Roman" w:hAnsi="DejaVu Sans" w:cs="DejaVu Sans"/>
                <w:b/>
                <w:sz w:val="17"/>
                <w:szCs w:val="17"/>
                <w:lang w:eastAsia="ar-SA"/>
              </w:rPr>
            </w:pPr>
            <w:r w:rsidRPr="00BF1894">
              <w:rPr>
                <w:rFonts w:ascii="DejaVu Sans" w:eastAsia="Times New Roman" w:hAnsi="DejaVu Sans" w:cs="DejaVu Sans"/>
                <w:b/>
                <w:sz w:val="17"/>
                <w:szCs w:val="17"/>
                <w:lang w:eastAsia="ar-SA"/>
              </w:rPr>
              <w:t>Bezugsnachweis:</w:t>
            </w:r>
          </w:p>
          <w:p w:rsidR="00BD678A" w:rsidRPr="00BF1894" w:rsidRDefault="00BD678A" w:rsidP="00BD678A">
            <w:pPr>
              <w:suppressAutoHyphens/>
              <w:jc w:val="both"/>
              <w:rPr>
                <w:rFonts w:ascii="DejaVu Sans" w:eastAsia="Times New Roman" w:hAnsi="DejaVu Sans" w:cs="DejaVu Sans"/>
                <w:b/>
                <w:sz w:val="17"/>
                <w:szCs w:val="17"/>
                <w:lang w:eastAsia="ar-SA"/>
              </w:rPr>
            </w:pPr>
          </w:p>
          <w:p w:rsidR="00BD678A" w:rsidRPr="00BF1894" w:rsidRDefault="00BD678A" w:rsidP="00BD678A">
            <w:pPr>
              <w:suppressAutoHyphens/>
              <w:jc w:val="both"/>
              <w:rPr>
                <w:rFonts w:ascii="DejaVu Sans" w:eastAsia="Times New Roman" w:hAnsi="DejaVu Sans" w:cs="DejaVu Sans"/>
                <w:b/>
                <w:sz w:val="17"/>
                <w:szCs w:val="17"/>
                <w:lang w:eastAsia="ar-SA"/>
              </w:rPr>
            </w:pPr>
            <w:r w:rsidRPr="00BF1894">
              <w:rPr>
                <w:rFonts w:ascii="DejaVu Sans" w:eastAsia="Times New Roman" w:hAnsi="DejaVu Sans" w:cs="DejaVu Sans"/>
                <w:b/>
                <w:sz w:val="17"/>
                <w:szCs w:val="17"/>
                <w:lang w:eastAsia="ar-SA"/>
              </w:rPr>
              <w:t>GUS Gewässer-Umwelt-Schutz GmbH</w:t>
            </w:r>
          </w:p>
          <w:p w:rsidR="00BD678A" w:rsidRPr="00BF1894" w:rsidRDefault="00BD678A" w:rsidP="00BD678A">
            <w:pPr>
              <w:suppressAutoHyphens/>
              <w:jc w:val="both"/>
              <w:rPr>
                <w:rFonts w:ascii="DejaVu Sans" w:eastAsia="Times New Roman" w:hAnsi="DejaVu Sans" w:cs="DejaVu Sans"/>
                <w:b/>
                <w:sz w:val="17"/>
                <w:szCs w:val="17"/>
                <w:lang w:eastAsia="ar-SA"/>
              </w:rPr>
            </w:pPr>
            <w:r w:rsidRPr="00BF1894">
              <w:rPr>
                <w:rFonts w:ascii="DejaVu Sans" w:eastAsia="Times New Roman" w:hAnsi="DejaVu Sans" w:cs="DejaVu Sans"/>
                <w:b/>
                <w:sz w:val="17"/>
                <w:szCs w:val="17"/>
                <w:lang w:eastAsia="ar-SA"/>
              </w:rPr>
              <w:t>48529 Nordhorn</w:t>
            </w:r>
          </w:p>
          <w:p w:rsidR="00BD678A" w:rsidRPr="000D0279" w:rsidRDefault="00BD678A" w:rsidP="00BD678A">
            <w:pPr>
              <w:suppressAutoHyphens/>
              <w:jc w:val="both"/>
              <w:rPr>
                <w:rFonts w:ascii="DejaVu Sans" w:eastAsia="Times New Roman" w:hAnsi="DejaVu Sans" w:cs="DejaVu Sans"/>
                <w:b/>
                <w:sz w:val="17"/>
                <w:szCs w:val="17"/>
                <w:lang w:eastAsia="ar-SA"/>
              </w:rPr>
            </w:pPr>
          </w:p>
          <w:p w:rsidR="000D0279" w:rsidRPr="000D0279" w:rsidRDefault="000D0279" w:rsidP="00BD678A">
            <w:pPr>
              <w:suppressAutoHyphens/>
              <w:jc w:val="both"/>
              <w:rPr>
                <w:rFonts w:ascii="DejaVu Sans" w:eastAsia="Times New Roman" w:hAnsi="DejaVu Sans" w:cs="DejaVu Sans"/>
                <w:sz w:val="17"/>
                <w:szCs w:val="17"/>
                <w:lang w:eastAsia="ar-SA"/>
              </w:rPr>
            </w:pPr>
          </w:p>
          <w:p w:rsidR="0059126A" w:rsidRPr="000D0279"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0D0279" w:rsidRDefault="0087396C" w:rsidP="0087396C">
            <w:pPr>
              <w:rPr>
                <w:rFonts w:ascii="DejaVu Sans" w:hAnsi="DejaVu Sans" w:cs="DejaVu Sans"/>
                <w:color w:val="323E4F" w:themeColor="text2" w:themeShade="BF"/>
                <w:sz w:val="17"/>
                <w:szCs w:val="17"/>
              </w:rPr>
            </w:pPr>
          </w:p>
        </w:tc>
        <w:tc>
          <w:tcPr>
            <w:tcW w:w="603" w:type="dxa"/>
            <w:shd w:val="clear" w:color="auto" w:fill="FFFFFF" w:themeFill="background1"/>
          </w:tcPr>
          <w:p w:rsidR="0087396C" w:rsidRPr="000D0279" w:rsidRDefault="0087396C" w:rsidP="0087396C">
            <w:pPr>
              <w:rPr>
                <w:rFonts w:ascii="DejaVu Sans" w:hAnsi="DejaVu Sans" w:cs="DejaVu Sans"/>
                <w:color w:val="323E4F" w:themeColor="text2" w:themeShade="BF"/>
                <w:sz w:val="17"/>
                <w:szCs w:val="17"/>
              </w:rPr>
            </w:pPr>
          </w:p>
        </w:tc>
      </w:tr>
    </w:tbl>
    <w:p w:rsidR="008D0129" w:rsidRPr="000D0279" w:rsidRDefault="000D0279">
      <w:pPr>
        <w:rPr>
          <w:rFonts w:ascii="DejaVu Sans" w:hAnsi="DejaVu Sans" w:cs="DejaVu Sans"/>
          <w:color w:val="323E4F" w:themeColor="text2" w:themeShade="BF"/>
          <w:sz w:val="17"/>
          <w:szCs w:val="17"/>
        </w:rPr>
      </w:pPr>
      <w:r>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0D0279"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charset w:val="00"/>
    <w:family w:val="swiss"/>
    <w:pitch w:val="variable"/>
    <w:sig w:usb0="E7002EFF" w:usb1="D200FDFF" w:usb2="0A046029" w:usb3="00000000" w:csb0="8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D0279"/>
    <w:rsid w:val="0059126A"/>
    <w:rsid w:val="0087396C"/>
    <w:rsid w:val="008D0129"/>
    <w:rsid w:val="00902C82"/>
    <w:rsid w:val="00977727"/>
    <w:rsid w:val="00BD678A"/>
    <w:rsid w:val="00BF1894"/>
    <w:rsid w:val="00EB39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6E5F"/>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2</cp:revision>
  <cp:lastPrinted>2018-05-16T11:04:00Z</cp:lastPrinted>
  <dcterms:created xsi:type="dcterms:W3CDTF">2018-05-16T13:02:00Z</dcterms:created>
  <dcterms:modified xsi:type="dcterms:W3CDTF">2018-05-16T13:02:00Z</dcterms:modified>
</cp:coreProperties>
</file>